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17" w:rsidRDefault="002258ED">
      <w:pPr>
        <w:kinsoku w:val="0"/>
        <w:overflowPunct w:val="0"/>
        <w:autoSpaceDE/>
        <w:autoSpaceDN/>
        <w:adjustRightInd/>
        <w:spacing w:before="1"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RESOLUCION No. </w:t>
      </w:r>
      <w:bookmarkStart w:id="0" w:name="_GoBack"/>
      <w:r>
        <w:rPr>
          <w:rFonts w:ascii="Verdana" w:hAnsi="Verdana" w:cs="Verdana"/>
          <w:b/>
          <w:bCs/>
          <w:sz w:val="24"/>
          <w:szCs w:val="24"/>
          <w:lang w:val="es-ES" w:eastAsia="es-ES"/>
        </w:rPr>
        <w:t>TAT-3336-2017</w:t>
      </w:r>
      <w:bookmarkEnd w:id="0"/>
    </w:p>
    <w:p w:rsidR="00106017" w:rsidRDefault="002258ED">
      <w:pPr>
        <w:kinsoku w:val="0"/>
        <w:overflowPunct w:val="0"/>
        <w:autoSpaceDE/>
        <w:autoSpaceDN/>
        <w:adjustRightInd/>
        <w:spacing w:before="358" w:line="294"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con cuarenta horas del treinta y uno de octubre de dos mil diecisiete.</w:t>
      </w:r>
    </w:p>
    <w:p w:rsidR="00106017" w:rsidRDefault="002258ED">
      <w:pPr>
        <w:kinsoku w:val="0"/>
        <w:overflowPunct w:val="0"/>
        <w:autoSpaceDE/>
        <w:autoSpaceDN/>
        <w:adjustRightInd/>
        <w:spacing w:before="336" w:line="240" w:lineRule="exact"/>
        <w:ind w:left="144"/>
        <w:jc w:val="both"/>
        <w:textAlignment w:val="baseline"/>
        <w:rPr>
          <w:rFonts w:ascii="Verdana" w:hAnsi="Verdana" w:cs="Verdana"/>
          <w:b/>
          <w:bCs/>
          <w:spacing w:val="-4"/>
          <w:lang w:val="es-ES" w:eastAsia="es-ES"/>
        </w:rPr>
      </w:pPr>
      <w:r>
        <w:rPr>
          <w:rFonts w:ascii="Verdana" w:hAnsi="Verdana" w:cs="Verdana"/>
          <w:b/>
          <w:bCs/>
          <w:spacing w:val="-4"/>
          <w:lang w:val="es-ES" w:eastAsia="es-ES"/>
        </w:rPr>
        <w:t>RECURSO DE APELACIÓN EN SUBSIDIO, NULIDAD CONCOMITANTE INTERPUESTO</w:t>
      </w:r>
    </w:p>
    <w:p w:rsidR="00106017" w:rsidRDefault="002258ED">
      <w:pPr>
        <w:kinsoku w:val="0"/>
        <w:overflowPunct w:val="0"/>
        <w:autoSpaceDE/>
        <w:autoSpaceDN/>
        <w:adjustRightInd/>
        <w:spacing w:line="293" w:lineRule="exact"/>
        <w:ind w:left="144" w:right="144"/>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por la empresa </w:t>
      </w:r>
      <w:r>
        <w:rPr>
          <w:rFonts w:ascii="Verdana" w:hAnsi="Verdana" w:cs="Verdana"/>
          <w:b/>
          <w:bCs/>
          <w:sz w:val="24"/>
          <w:szCs w:val="24"/>
          <w:lang w:val="es-ES" w:eastAsia="es-ES"/>
        </w:rPr>
        <w:t>V</w:t>
      </w:r>
      <w:r w:rsidR="00F875FB">
        <w:rPr>
          <w:rFonts w:ascii="Verdana" w:hAnsi="Verdana" w:cs="Verdana"/>
          <w:b/>
          <w:bCs/>
          <w:sz w:val="24"/>
          <w:szCs w:val="24"/>
          <w:lang w:val="es-ES" w:eastAsia="es-ES"/>
        </w:rPr>
        <w:t>.B.</w:t>
      </w:r>
      <w:r>
        <w:rPr>
          <w:rFonts w:ascii="Verdana" w:hAnsi="Verdana" w:cs="Verdana"/>
          <w:b/>
          <w:bCs/>
          <w:sz w:val="24"/>
          <w:szCs w:val="24"/>
          <w:lang w:val="es-ES" w:eastAsia="es-ES"/>
        </w:rPr>
        <w:t>S.A. cédula Jurídica</w:t>
      </w:r>
      <w:r w:rsidR="00F875FB">
        <w:rPr>
          <w:rFonts w:ascii="Verdana" w:hAnsi="Verdana" w:cs="Verdana"/>
          <w:b/>
          <w:bCs/>
          <w:sz w:val="24"/>
          <w:szCs w:val="24"/>
          <w:lang w:val="es-ES" w:eastAsia="es-ES"/>
        </w:rPr>
        <w:t xml:space="preserve"> …</w:t>
      </w:r>
      <w:r>
        <w:rPr>
          <w:rFonts w:ascii="Verdana" w:hAnsi="Verdana" w:cs="Verdana"/>
          <w:b/>
          <w:bCs/>
          <w:sz w:val="24"/>
          <w:szCs w:val="24"/>
          <w:lang w:val="es-ES" w:eastAsia="es-ES"/>
        </w:rPr>
        <w:t>, representada por M</w:t>
      </w:r>
      <w:r w:rsidR="00F875FB">
        <w:rPr>
          <w:rFonts w:ascii="Verdana" w:hAnsi="Verdana" w:cs="Verdana"/>
          <w:b/>
          <w:bCs/>
          <w:sz w:val="24"/>
          <w:szCs w:val="24"/>
          <w:lang w:val="es-ES" w:eastAsia="es-ES"/>
        </w:rPr>
        <w:t>.V.H.A.</w:t>
      </w:r>
      <w:r>
        <w:rPr>
          <w:rFonts w:ascii="Verdana" w:hAnsi="Verdana" w:cs="Verdana"/>
          <w:b/>
          <w:bCs/>
          <w:sz w:val="24"/>
          <w:szCs w:val="24"/>
          <w:lang w:val="es-ES" w:eastAsia="es-ES"/>
        </w:rPr>
        <w:t xml:space="preserve"> cédula de identidad número </w:t>
      </w:r>
      <w:r w:rsidR="00F875FB">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Apoderado Generalísimo sin límite de suma, </w:t>
      </w:r>
      <w:r>
        <w:rPr>
          <w:rFonts w:ascii="Verdana" w:hAnsi="Verdana" w:cs="Verdana"/>
          <w:b/>
          <w:bCs/>
          <w:sz w:val="24"/>
          <w:szCs w:val="24"/>
          <w:lang w:val="es-ES" w:eastAsia="es-ES"/>
        </w:rPr>
        <w:t xml:space="preserve">contra el artículo 7.13 de la Sesión Ordinaria 27-2017 de 5 de julio de 2017, </w:t>
      </w:r>
      <w:r>
        <w:rPr>
          <w:rFonts w:ascii="Verdana" w:hAnsi="Verdana" w:cs="Verdana"/>
          <w:sz w:val="24"/>
          <w:szCs w:val="24"/>
          <w:lang w:val="es-ES" w:eastAsia="es-ES"/>
        </w:rPr>
        <w:t xml:space="preserve">adoptado por la Junta Directiva del Consejo de Transporte Público. El caso es tramitado en este </w:t>
      </w:r>
      <w:r>
        <w:rPr>
          <w:rFonts w:ascii="Verdana" w:hAnsi="Verdana" w:cs="Verdana"/>
          <w:b/>
          <w:bCs/>
          <w:sz w:val="24"/>
          <w:szCs w:val="24"/>
          <w:lang w:val="es-ES" w:eastAsia="es-ES"/>
        </w:rPr>
        <w:t>Despacho bajo Expediente Administrativo No. TAT-122-17.</w:t>
      </w:r>
    </w:p>
    <w:p w:rsidR="00106017" w:rsidRDefault="002258ED">
      <w:pPr>
        <w:kinsoku w:val="0"/>
        <w:overflowPunct w:val="0"/>
        <w:autoSpaceDE/>
        <w:autoSpaceDN/>
        <w:adjustRightInd/>
        <w:spacing w:before="538"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106017" w:rsidRDefault="002258ED">
      <w:pPr>
        <w:kinsoku w:val="0"/>
        <w:overflowPunct w:val="0"/>
        <w:autoSpaceDE/>
        <w:autoSpaceDN/>
        <w:adjustRightInd/>
        <w:spacing w:before="298" w:line="294"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el artículo 7.13 de la Sesión Ordinaria 27-2017 de 5 de julio de 2017, </w:t>
      </w:r>
      <w:r>
        <w:rPr>
          <w:rFonts w:ascii="Verdana" w:hAnsi="Verdana" w:cs="Verdana"/>
          <w:i/>
          <w:iCs/>
          <w:sz w:val="24"/>
          <w:szCs w:val="24"/>
          <w:lang w:val="es-ES" w:eastAsia="es-ES"/>
        </w:rPr>
        <w:t xml:space="preserve">determina lo siguiente: </w:t>
      </w:r>
      <w:r>
        <w:rPr>
          <w:rFonts w:ascii="Verdana" w:hAnsi="Verdana" w:cs="Verdana"/>
          <w:sz w:val="24"/>
          <w:szCs w:val="24"/>
          <w:lang w:val="es-ES" w:eastAsia="es-ES"/>
        </w:rPr>
        <w:t>(Léanse folios 15 y 16 del expediente administrativo)</w:t>
      </w:r>
    </w:p>
    <w:p w:rsidR="00106017" w:rsidRDefault="002258ED">
      <w:pPr>
        <w:kinsoku w:val="0"/>
        <w:overflowPunct w:val="0"/>
        <w:autoSpaceDE/>
        <w:autoSpaceDN/>
        <w:adjustRightInd/>
        <w:spacing w:before="267" w:line="189" w:lineRule="exact"/>
        <w:ind w:left="648" w:right="720"/>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xml:space="preserve">"ARTICULO 7.13.-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DIC 2017-0764 </w:t>
      </w:r>
      <w:r>
        <w:rPr>
          <w:rFonts w:ascii="Verdana" w:hAnsi="Verdana" w:cs="Verdana"/>
          <w:i/>
          <w:iCs/>
          <w:sz w:val="16"/>
          <w:szCs w:val="16"/>
          <w:lang w:val="es-ES" w:eastAsia="es-ES"/>
        </w:rPr>
        <w:t xml:space="preserve">referente a recurso de amparo </w:t>
      </w:r>
      <w:r>
        <w:rPr>
          <w:rFonts w:ascii="Verdana" w:hAnsi="Verdana" w:cs="Verdana"/>
          <w:b/>
          <w:bCs/>
          <w:i/>
          <w:iCs/>
          <w:sz w:val="16"/>
          <w:szCs w:val="16"/>
          <w:lang w:val="es-ES" w:eastAsia="es-ES"/>
        </w:rPr>
        <w:t xml:space="preserve">N 17-003755-007-CO, </w:t>
      </w:r>
      <w:r>
        <w:rPr>
          <w:rFonts w:ascii="Verdana" w:hAnsi="Verdana" w:cs="Verdana"/>
          <w:i/>
          <w:iCs/>
          <w:sz w:val="16"/>
          <w:szCs w:val="16"/>
          <w:lang w:val="es-ES" w:eastAsia="es-ES"/>
        </w:rPr>
        <w:t>DE 20170838 DAJ 2017-000946 presentado por la señora N</w:t>
      </w:r>
      <w:r w:rsidR="00F875FB">
        <w:rPr>
          <w:rFonts w:ascii="Verdana" w:hAnsi="Verdana" w:cs="Verdana"/>
          <w:i/>
          <w:iCs/>
          <w:sz w:val="16"/>
          <w:szCs w:val="16"/>
          <w:lang w:val="es-ES" w:eastAsia="es-ES"/>
        </w:rPr>
        <w:t>.B.S.</w:t>
      </w:r>
      <w:r>
        <w:rPr>
          <w:i/>
          <w:iCs/>
          <w:sz w:val="18"/>
          <w:szCs w:val="18"/>
          <w:lang w:val="es-ES" w:eastAsia="es-ES"/>
        </w:rPr>
        <w:t xml:space="preserve"> contra </w:t>
      </w:r>
      <w:r>
        <w:rPr>
          <w:rFonts w:ascii="Verdana" w:hAnsi="Verdana" w:cs="Verdana"/>
          <w:b/>
          <w:bCs/>
          <w:i/>
          <w:iCs/>
          <w:sz w:val="16"/>
          <w:szCs w:val="16"/>
          <w:lang w:val="es-ES" w:eastAsia="es-ES"/>
        </w:rPr>
        <w:t>T</w:t>
      </w:r>
      <w:r w:rsidR="00F875FB">
        <w:rPr>
          <w:rFonts w:ascii="Verdana" w:hAnsi="Verdana" w:cs="Verdana"/>
          <w:b/>
          <w:bCs/>
          <w:i/>
          <w:iCs/>
          <w:sz w:val="16"/>
          <w:szCs w:val="16"/>
          <w:lang w:val="es-ES" w:eastAsia="es-ES"/>
        </w:rPr>
        <w:t>.V.B.S.A.</w:t>
      </w:r>
    </w:p>
    <w:p w:rsidR="00106017" w:rsidRDefault="002258ED">
      <w:pPr>
        <w:kinsoku w:val="0"/>
        <w:overflowPunct w:val="0"/>
        <w:autoSpaceDE/>
        <w:autoSpaceDN/>
        <w:adjustRightInd/>
        <w:spacing w:before="174" w:line="190" w:lineRule="exact"/>
        <w:ind w:left="648"/>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CONSIDERANDO:</w:t>
      </w:r>
    </w:p>
    <w:p w:rsidR="00106017" w:rsidRDefault="002258ED">
      <w:pPr>
        <w:kinsoku w:val="0"/>
        <w:overflowPunct w:val="0"/>
        <w:autoSpaceDE/>
        <w:autoSpaceDN/>
        <w:adjustRightInd/>
        <w:spacing w:line="192" w:lineRule="exact"/>
        <w:ind w:left="648"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DIC 2017-0764 </w:t>
      </w:r>
      <w:r>
        <w:rPr>
          <w:rFonts w:ascii="Verdana" w:hAnsi="Verdana" w:cs="Verdana"/>
          <w:i/>
          <w:iCs/>
          <w:sz w:val="16"/>
          <w:szCs w:val="16"/>
          <w:lang w:val="es-ES" w:eastAsia="es-ES"/>
        </w:rPr>
        <w:t xml:space="preserve">referente a recurso de amparo N </w:t>
      </w:r>
      <w:r>
        <w:rPr>
          <w:rFonts w:ascii="Verdana" w:hAnsi="Verdana" w:cs="Verdana"/>
          <w:b/>
          <w:bCs/>
          <w:i/>
          <w:iCs/>
          <w:sz w:val="16"/>
          <w:szCs w:val="16"/>
          <w:lang w:val="es-ES" w:eastAsia="es-ES"/>
        </w:rPr>
        <w:t xml:space="preserve">17-003755-007-CO, </w:t>
      </w:r>
      <w:r>
        <w:rPr>
          <w:rFonts w:ascii="Verdana" w:hAnsi="Verdana" w:cs="Verdana"/>
          <w:i/>
          <w:iCs/>
          <w:sz w:val="16"/>
          <w:szCs w:val="16"/>
          <w:lang w:val="es-ES" w:eastAsia="es-ES"/>
        </w:rPr>
        <w:t xml:space="preserve">DE 2017-0838 DAJ 2017-000946 presentado por la señora </w:t>
      </w:r>
      <w:r>
        <w:rPr>
          <w:rFonts w:ascii="Verdana" w:hAnsi="Verdana" w:cs="Verdana"/>
          <w:b/>
          <w:bCs/>
          <w:i/>
          <w:iCs/>
          <w:sz w:val="16"/>
          <w:szCs w:val="16"/>
          <w:lang w:val="es-ES" w:eastAsia="es-ES"/>
        </w:rPr>
        <w:t>N</w:t>
      </w:r>
      <w:r w:rsidR="00F875FB">
        <w:rPr>
          <w:rFonts w:ascii="Verdana" w:hAnsi="Verdana" w:cs="Verdana"/>
          <w:b/>
          <w:bCs/>
          <w:i/>
          <w:iCs/>
          <w:sz w:val="16"/>
          <w:szCs w:val="16"/>
          <w:lang w:val="es-ES" w:eastAsia="es-ES"/>
        </w:rPr>
        <w:t>.B.S.</w:t>
      </w:r>
      <w:r>
        <w:rPr>
          <w:rFonts w:ascii="Verdana" w:hAnsi="Verdana" w:cs="Verdana"/>
          <w:b/>
          <w:bCs/>
          <w:i/>
          <w:iCs/>
          <w:sz w:val="16"/>
          <w:szCs w:val="16"/>
          <w:lang w:val="es-ES" w:eastAsia="es-ES"/>
        </w:rPr>
        <w:t xml:space="preserve"> contra T</w:t>
      </w:r>
      <w:r w:rsidR="00F875FB">
        <w:rPr>
          <w:rFonts w:ascii="Verdana" w:hAnsi="Verdana" w:cs="Verdana"/>
          <w:b/>
          <w:bCs/>
          <w:i/>
          <w:iCs/>
          <w:sz w:val="16"/>
          <w:szCs w:val="16"/>
          <w:lang w:val="es-ES" w:eastAsia="es-ES"/>
        </w:rPr>
        <w:t>.V.B.S.A.</w:t>
      </w:r>
      <w:r>
        <w:rPr>
          <w:rFonts w:ascii="Verdana" w:hAnsi="Verdana" w:cs="Verdana"/>
          <w:b/>
          <w:bCs/>
          <w:i/>
          <w:iCs/>
          <w:sz w:val="16"/>
          <w:szCs w:val="16"/>
          <w:lang w:val="es-ES" w:eastAsia="es-ES"/>
        </w:rPr>
        <w:t xml:space="preserve">,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basados en los fundamentos, motivos y contenidos, desarrollados en los considerandos del mismo, el cual forma parte integral de esta acta.</w:t>
      </w:r>
    </w:p>
    <w:p w:rsidR="00106017" w:rsidRDefault="002258ED">
      <w:pPr>
        <w:kinsoku w:val="0"/>
        <w:overflowPunct w:val="0"/>
        <w:autoSpaceDE/>
        <w:autoSpaceDN/>
        <w:adjustRightInd/>
        <w:spacing w:before="16" w:line="195" w:lineRule="exact"/>
        <w:ind w:left="648"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La directora Olga Barrantes indica que además de las </w:t>
      </w:r>
      <w:proofErr w:type="gramStart"/>
      <w:r>
        <w:rPr>
          <w:rFonts w:ascii="Verdana" w:hAnsi="Verdana" w:cs="Verdana"/>
          <w:i/>
          <w:iCs/>
          <w:sz w:val="16"/>
          <w:szCs w:val="16"/>
          <w:lang w:val="es-ES" w:eastAsia="es-ES"/>
        </w:rPr>
        <w:t>recomendaciones,.</w:t>
      </w:r>
      <w:proofErr w:type="gramEnd"/>
      <w:r>
        <w:rPr>
          <w:rFonts w:ascii="Verdana" w:hAnsi="Verdana" w:cs="Verdana"/>
          <w:i/>
          <w:iCs/>
          <w:sz w:val="16"/>
          <w:szCs w:val="16"/>
          <w:lang w:val="es-ES" w:eastAsia="es-ES"/>
        </w:rPr>
        <w:t xml:space="preserve"> ella considera que es necesario el inicio de un procedimiento administrativo, por tratarse de presuntos incumplimientos que atentan de forma directa contra los usuarios del servicio. </w:t>
      </w:r>
      <w:proofErr w:type="gramStart"/>
      <w:r>
        <w:rPr>
          <w:rFonts w:ascii="Verdana" w:hAnsi="Verdana" w:cs="Verdana"/>
          <w:i/>
          <w:iCs/>
          <w:sz w:val="16"/>
          <w:szCs w:val="16"/>
          <w:lang w:val="es-ES" w:eastAsia="es-ES"/>
        </w:rPr>
        <w:t>Además</w:t>
      </w:r>
      <w:proofErr w:type="gramEnd"/>
      <w:r>
        <w:rPr>
          <w:rFonts w:ascii="Verdana" w:hAnsi="Verdana" w:cs="Verdana"/>
          <w:i/>
          <w:iCs/>
          <w:sz w:val="16"/>
          <w:szCs w:val="16"/>
          <w:lang w:val="es-ES" w:eastAsia="es-ES"/>
        </w:rPr>
        <w:t xml:space="preserve"> indica que por ser la apertura del procedimiento, una medida no excluyente con las recomendaciones del oficio en estudio, en aplicación de los principios de razonabilidad, justicia y proporcionalidad, mociona para que se amplíen las recomendaciones vertidas en el informe, y se decrete el inicio de un procedimiento administrativo para averiguar la verdad real de los hechos, garantizándosele a la empresa el debido proceso y el derecho de defensa.</w:t>
      </w:r>
    </w:p>
    <w:p w:rsidR="00106017" w:rsidRDefault="002258ED">
      <w:pPr>
        <w:kinsoku w:val="0"/>
        <w:overflowPunct w:val="0"/>
        <w:autoSpaceDE/>
        <w:autoSpaceDN/>
        <w:adjustRightInd/>
        <w:spacing w:after="845" w:line="199" w:lineRule="exact"/>
        <w:ind w:left="648" w:right="720"/>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TERCERO: </w:t>
      </w:r>
      <w:r>
        <w:rPr>
          <w:rFonts w:ascii="Verdana" w:hAnsi="Verdana" w:cs="Verdana"/>
          <w:i/>
          <w:iCs/>
          <w:spacing w:val="-1"/>
          <w:sz w:val="16"/>
          <w:szCs w:val="16"/>
          <w:lang w:val="es-ES" w:eastAsia="es-ES"/>
        </w:rPr>
        <w:t>El director Miguel Badila fundamenta su voto negativo de la recomendación número ocho, indicando que por tratarse de una empresa que no es reincidente, debería prevenírsele el</w:t>
      </w:r>
    </w:p>
    <w:p w:rsidR="00106017" w:rsidRDefault="00106017">
      <w:pPr>
        <w:widowControl/>
        <w:rPr>
          <w:sz w:val="24"/>
          <w:szCs w:val="24"/>
        </w:rPr>
        <w:sectPr w:rsidR="00106017">
          <w:pgSz w:w="12322" w:h="15763"/>
          <w:pgMar w:top="1580" w:right="1597" w:bottom="307" w:left="1565" w:header="720" w:footer="720" w:gutter="0"/>
          <w:cols w:space="720"/>
          <w:noEndnote/>
        </w:sectPr>
      </w:pPr>
    </w:p>
    <w:p w:rsidR="00106017" w:rsidRDefault="002258ED">
      <w:pPr>
        <w:kinsoku w:val="0"/>
        <w:overflowPunct w:val="0"/>
        <w:autoSpaceDE/>
        <w:autoSpaceDN/>
        <w:adjustRightInd/>
        <w:spacing w:before="18" w:line="183" w:lineRule="exact"/>
        <w:ind w:left="792" w:right="648"/>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cumplimiento de lo recomendado por el oficio en estudio, antes de proceder al inicio del procedimiento administrativo.</w:t>
      </w:r>
    </w:p>
    <w:p w:rsidR="00106017" w:rsidRDefault="002258ED">
      <w:pPr>
        <w:kinsoku w:val="0"/>
        <w:overflowPunct w:val="0"/>
        <w:autoSpaceDE/>
        <w:autoSpaceDN/>
        <w:adjustRightInd/>
        <w:spacing w:before="193" w:line="193" w:lineRule="exact"/>
        <w:ind w:left="792"/>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POR TANTO, SE ACUERDA</w:t>
      </w:r>
    </w:p>
    <w:p w:rsidR="00106017" w:rsidRDefault="002258ED">
      <w:pPr>
        <w:numPr>
          <w:ilvl w:val="0"/>
          <w:numId w:val="1"/>
        </w:numPr>
        <w:kinsoku w:val="0"/>
        <w:overflowPunct w:val="0"/>
        <w:autoSpaceDE/>
        <w:autoSpaceDN/>
        <w:adjustRightInd/>
        <w:spacing w:before="205" w:line="19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DIC 2017-0764, </w:t>
      </w:r>
      <w:r>
        <w:rPr>
          <w:rFonts w:ascii="Verdana" w:hAnsi="Verdana" w:cs="Verdana"/>
          <w:i/>
          <w:iCs/>
          <w:sz w:val="16"/>
          <w:szCs w:val="16"/>
          <w:lang w:val="es-ES" w:eastAsia="es-ES"/>
        </w:rPr>
        <w:t>todas las recomendaciones contenidas en el oficio dicho, el cual forma parte integral de este acuerdo.</w:t>
      </w:r>
    </w:p>
    <w:p w:rsidR="00106017" w:rsidRDefault="002258ED">
      <w:pPr>
        <w:numPr>
          <w:ilvl w:val="0"/>
          <w:numId w:val="2"/>
        </w:numPr>
        <w:kinsoku w:val="0"/>
        <w:overflowPunct w:val="0"/>
        <w:autoSpaceDE/>
        <w:autoSpaceDN/>
        <w:adjustRightInd/>
        <w:spacing w:before="31" w:line="191" w:lineRule="exact"/>
        <w:ind w:right="648"/>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.B.S.A.</w:t>
      </w:r>
      <w:r>
        <w:rPr>
          <w:rFonts w:ascii="Verdana" w:hAnsi="Verdana" w:cs="Verdana"/>
          <w:b/>
          <w:bCs/>
          <w:i/>
          <w:iCs/>
          <w:sz w:val="16"/>
          <w:szCs w:val="16"/>
          <w:lang w:val="es-ES" w:eastAsia="es-ES"/>
        </w:rPr>
        <w:t xml:space="preserve">, </w:t>
      </w:r>
      <w:r>
        <w:rPr>
          <w:rFonts w:ascii="Verdana" w:hAnsi="Verdana" w:cs="Verdana"/>
          <w:i/>
          <w:iCs/>
          <w:sz w:val="16"/>
          <w:szCs w:val="16"/>
          <w:lang w:val="es-ES" w:eastAsia="es-ES"/>
        </w:rPr>
        <w:t xml:space="preserve">operadora de las Rutas 222-223-235, que debe presentar e implementar un plan o acción de mejora de manera inmediata para cumplir con lo establecido en el Contrato de Concesión sobre la flota autorizada debido a que "LA CONCESIONARIA está obligada a: 1- Mantener sus unidades en condiciones mecánicas y de carrocería adecuadas para la prestación del servicio de forma que satisfagan los requisitos básicos de comodidad, confort y seguridad de sus usuarios 2- Deberá tener en condiciones óptimas de funcionamiento las rampas con los respectivos dispositivos de seguridad para su utilización en todas las unidades autorizadas en flota 3- Deberá tener al día durante la vigencia de la presente concesión las Revisiones Técnicas Vehiculares de todas las unidades 4- Debe mantener una capacitación a todo el personal de servicio sobre el trato hacia los usuarios especialmente personas adultos mayores y discapacitados. </w:t>
      </w:r>
      <w:r>
        <w:rPr>
          <w:rFonts w:ascii="Verdana" w:hAnsi="Verdana" w:cs="Verdana"/>
          <w:b/>
          <w:bCs/>
          <w:i/>
          <w:iCs/>
          <w:sz w:val="16"/>
          <w:szCs w:val="16"/>
          <w:lang w:val="es-ES" w:eastAsia="es-ES"/>
        </w:rPr>
        <w:t>Estos aspectos serán verificados en un plazo de 3 meses.</w:t>
      </w:r>
    </w:p>
    <w:p w:rsidR="00106017" w:rsidRDefault="002258ED">
      <w:pPr>
        <w:numPr>
          <w:ilvl w:val="0"/>
          <w:numId w:val="2"/>
        </w:numPr>
        <w:kinsoku w:val="0"/>
        <w:overflowPunct w:val="0"/>
        <w:autoSpaceDE/>
        <w:autoSpaceDN/>
        <w:adjustRightInd/>
        <w:spacing w:before="20" w:line="191" w:lineRule="exact"/>
        <w:ind w:right="648"/>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.B.S.A.</w:t>
      </w:r>
      <w:r>
        <w:rPr>
          <w:rFonts w:ascii="Verdana" w:hAnsi="Verdana" w:cs="Verdana"/>
          <w:b/>
          <w:bCs/>
          <w:i/>
          <w:iCs/>
          <w:sz w:val="16"/>
          <w:szCs w:val="16"/>
          <w:lang w:val="es-ES" w:eastAsia="es-ES"/>
        </w:rPr>
        <w:t xml:space="preserve">, </w:t>
      </w:r>
      <w:r>
        <w:rPr>
          <w:rFonts w:ascii="Verdana" w:hAnsi="Verdana" w:cs="Verdana"/>
          <w:i/>
          <w:iCs/>
          <w:sz w:val="16"/>
          <w:szCs w:val="16"/>
          <w:lang w:val="es-ES" w:eastAsia="es-ES"/>
        </w:rPr>
        <w:t xml:space="preserve">utilizar para el servicio de transporte remunerado de personas en las rutas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222, 223 y 235 únicamente las unidades autorizadas por parte del Consejo de Transporte Público, según oficios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DACP-2017-0753 y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DACP-2017-0754, ambos de fecha 25 de abril de 2017. </w:t>
      </w:r>
      <w:r>
        <w:rPr>
          <w:rFonts w:ascii="Verdana" w:hAnsi="Verdana" w:cs="Verdana"/>
          <w:b/>
          <w:bCs/>
          <w:i/>
          <w:iCs/>
          <w:sz w:val="16"/>
          <w:szCs w:val="16"/>
          <w:lang w:val="es-ES" w:eastAsia="es-ES"/>
        </w:rPr>
        <w:t>De acatamiento inmediato.</w:t>
      </w:r>
    </w:p>
    <w:p w:rsidR="00106017" w:rsidRDefault="002258ED">
      <w:pPr>
        <w:numPr>
          <w:ilvl w:val="0"/>
          <w:numId w:val="2"/>
        </w:numPr>
        <w:kinsoku w:val="0"/>
        <w:overflowPunct w:val="0"/>
        <w:autoSpaceDE/>
        <w:autoSpaceDN/>
        <w:adjustRightInd/>
        <w:spacing w:before="46" w:line="19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.B.S.A.</w:t>
      </w:r>
      <w:r>
        <w:rPr>
          <w:rFonts w:ascii="Verdana" w:hAnsi="Verdana" w:cs="Verdana"/>
          <w:b/>
          <w:bCs/>
          <w:i/>
          <w:iCs/>
          <w:sz w:val="16"/>
          <w:szCs w:val="16"/>
          <w:lang w:val="es-ES" w:eastAsia="es-ES"/>
        </w:rPr>
        <w:t xml:space="preserve">, </w:t>
      </w:r>
      <w:r>
        <w:rPr>
          <w:rFonts w:ascii="Verdana" w:hAnsi="Verdana" w:cs="Verdana"/>
          <w:i/>
          <w:iCs/>
          <w:sz w:val="16"/>
          <w:szCs w:val="16"/>
          <w:lang w:val="es-ES" w:eastAsia="es-ES"/>
        </w:rPr>
        <w:t xml:space="preserve">que en </w:t>
      </w:r>
      <w:r>
        <w:rPr>
          <w:rFonts w:ascii="Verdana" w:hAnsi="Verdana" w:cs="Verdana"/>
          <w:b/>
          <w:bCs/>
          <w:i/>
          <w:iCs/>
          <w:sz w:val="16"/>
          <w:szCs w:val="16"/>
          <w:lang w:val="es-ES" w:eastAsia="es-ES"/>
        </w:rPr>
        <w:t xml:space="preserve">un plazo no mayor a dos meses, </w:t>
      </w:r>
      <w:r>
        <w:rPr>
          <w:rFonts w:ascii="Verdana" w:hAnsi="Verdana" w:cs="Verdana"/>
          <w:i/>
          <w:iCs/>
          <w:sz w:val="16"/>
          <w:szCs w:val="16"/>
          <w:lang w:val="es-ES" w:eastAsia="es-ES"/>
        </w:rPr>
        <w:t xml:space="preserve">debe de ajustar las medidas de sus unidades urbanas, que se encuentran fuera de lo establecido según los cuadros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2, 5, y 8 en lo que respecta a las siguientes características: Altura máxima de grada delantera (420mm), Altura máxima de grada trasera (420mm), ancho mínimo de puerta trasera (800mm +/- 40mm ancho mínimo de barra trasera (800mm +/- 50mm), la distancia entre asientos (650mm), ancho mínimo de butaca de asientos. (400mm), profundidad mínima de asientos (400mm), ancho mínimo del espacio de silla de ruedas, (800mm), largo mínimo del espacio para la silla de ruedas (1300mm), ancho mínimo de la rampa de acceso (750mm +/-30mm), largo mínimo de la rampa de acceso (900mm).</w:t>
      </w:r>
    </w:p>
    <w:p w:rsidR="00106017" w:rsidRDefault="002258ED">
      <w:pPr>
        <w:numPr>
          <w:ilvl w:val="0"/>
          <w:numId w:val="2"/>
        </w:numPr>
        <w:kinsoku w:val="0"/>
        <w:overflowPunct w:val="0"/>
        <w:autoSpaceDE/>
        <w:autoSpaceDN/>
        <w:adjustRightInd/>
        <w:spacing w:line="189" w:lineRule="exact"/>
        <w:ind w:right="648"/>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.B.S.A.</w:t>
      </w:r>
      <w:r>
        <w:rPr>
          <w:rFonts w:ascii="Verdana" w:hAnsi="Verdana" w:cs="Verdana"/>
          <w:b/>
          <w:bCs/>
          <w:i/>
          <w:iCs/>
          <w:sz w:val="16"/>
          <w:szCs w:val="16"/>
          <w:lang w:val="es-ES" w:eastAsia="es-ES"/>
        </w:rPr>
        <w:t xml:space="preserv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w:t>
      </w:r>
      <w:r>
        <w:rPr>
          <w:rFonts w:ascii="Verdana" w:hAnsi="Verdana" w:cs="Verdana"/>
          <w:b/>
          <w:bCs/>
          <w:i/>
          <w:iCs/>
          <w:sz w:val="16"/>
          <w:szCs w:val="16"/>
          <w:lang w:val="es-ES" w:eastAsia="es-ES"/>
        </w:rPr>
        <w:t xml:space="preserve">en un plazo no mayor a dos meses, </w:t>
      </w:r>
      <w:r>
        <w:rPr>
          <w:rFonts w:ascii="Verdana" w:hAnsi="Verdana" w:cs="Verdana"/>
          <w:i/>
          <w:iCs/>
          <w:sz w:val="16"/>
          <w:szCs w:val="16"/>
          <w:lang w:val="es-ES" w:eastAsia="es-ES"/>
        </w:rPr>
        <w:t xml:space="preserve">debe de proceder a subsanar los defectos anotados en los cuadros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3, 6 y 9 del informe contenido en el oficio </w:t>
      </w:r>
      <w:r>
        <w:rPr>
          <w:rFonts w:ascii="Verdana" w:hAnsi="Verdana" w:cs="Verdana"/>
          <w:b/>
          <w:bCs/>
          <w:i/>
          <w:iCs/>
          <w:sz w:val="16"/>
          <w:szCs w:val="16"/>
          <w:lang w:val="es-ES" w:eastAsia="es-ES"/>
        </w:rPr>
        <w:t>DIC 2017-0764.</w:t>
      </w:r>
    </w:p>
    <w:p w:rsidR="00106017" w:rsidRDefault="002258ED">
      <w:pPr>
        <w:numPr>
          <w:ilvl w:val="0"/>
          <w:numId w:val="2"/>
        </w:numPr>
        <w:kinsoku w:val="0"/>
        <w:overflowPunct w:val="0"/>
        <w:autoSpaceDE/>
        <w:autoSpaceDN/>
        <w:adjustRightInd/>
        <w:spacing w:before="12" w:line="19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.B.S.A.</w:t>
      </w:r>
      <w:r>
        <w:rPr>
          <w:rFonts w:ascii="Verdana" w:hAnsi="Verdana" w:cs="Verdana"/>
          <w:b/>
          <w:bCs/>
          <w:i/>
          <w:iCs/>
          <w:sz w:val="16"/>
          <w:szCs w:val="16"/>
          <w:lang w:val="es-ES" w:eastAsia="es-ES"/>
        </w:rPr>
        <w:t xml:space="preserve">, de forma inmediata </w:t>
      </w:r>
      <w:r>
        <w:rPr>
          <w:rFonts w:ascii="Verdana" w:hAnsi="Verdana" w:cs="Verdana"/>
          <w:i/>
          <w:iCs/>
          <w:sz w:val="16"/>
          <w:szCs w:val="16"/>
          <w:lang w:val="es-ES" w:eastAsia="es-ES"/>
        </w:rPr>
        <w:t>eliminar los asientos ubicados en el espacio de silla de ruedas de las siguientes unidades: SJB-</w:t>
      </w:r>
      <w:r w:rsidR="00F875FB">
        <w:rPr>
          <w:rFonts w:ascii="Verdana" w:hAnsi="Verdana" w:cs="Verdana"/>
          <w:i/>
          <w:iCs/>
          <w:sz w:val="16"/>
          <w:szCs w:val="16"/>
          <w:lang w:val="es-ES" w:eastAsia="es-ES"/>
        </w:rPr>
        <w:t>XXXX</w:t>
      </w:r>
      <w:r>
        <w:rPr>
          <w:rFonts w:ascii="Verdana" w:hAnsi="Verdana" w:cs="Verdana"/>
          <w:i/>
          <w:iCs/>
          <w:sz w:val="16"/>
          <w:szCs w:val="16"/>
          <w:lang w:val="es-ES" w:eastAsia="es-ES"/>
        </w:rPr>
        <w:t>, SJB-</w:t>
      </w:r>
      <w:r w:rsidR="00F875FB">
        <w:rPr>
          <w:rFonts w:ascii="Verdana" w:hAnsi="Verdana" w:cs="Verdana"/>
          <w:i/>
          <w:iCs/>
          <w:sz w:val="16"/>
          <w:szCs w:val="16"/>
          <w:lang w:val="es-ES" w:eastAsia="es-ES"/>
        </w:rPr>
        <w:t>XXXXX</w:t>
      </w:r>
      <w:r>
        <w:rPr>
          <w:rFonts w:ascii="Verdana" w:hAnsi="Verdana" w:cs="Verdana"/>
          <w:i/>
          <w:iCs/>
          <w:sz w:val="16"/>
          <w:szCs w:val="16"/>
          <w:lang w:val="es-ES" w:eastAsia="es-ES"/>
        </w:rPr>
        <w:t>, SJB-</w:t>
      </w:r>
      <w:r w:rsidR="00F875FB">
        <w:rPr>
          <w:rFonts w:ascii="Verdana" w:hAnsi="Verdana" w:cs="Verdana"/>
          <w:i/>
          <w:iCs/>
          <w:sz w:val="16"/>
          <w:szCs w:val="16"/>
          <w:lang w:val="es-ES" w:eastAsia="es-ES"/>
        </w:rPr>
        <w:t>XXXXX</w:t>
      </w:r>
      <w:r>
        <w:rPr>
          <w:rFonts w:ascii="Verdana" w:hAnsi="Verdana" w:cs="Verdana"/>
          <w:i/>
          <w:iCs/>
          <w:sz w:val="16"/>
          <w:szCs w:val="16"/>
          <w:lang w:val="es-ES" w:eastAsia="es-ES"/>
        </w:rPr>
        <w:t>, SJB-</w:t>
      </w:r>
      <w:r w:rsidR="00F875FB">
        <w:rPr>
          <w:rFonts w:ascii="Verdana" w:hAnsi="Verdana" w:cs="Verdana"/>
          <w:i/>
          <w:iCs/>
          <w:sz w:val="16"/>
          <w:szCs w:val="16"/>
          <w:lang w:val="es-ES" w:eastAsia="es-ES"/>
        </w:rPr>
        <w:t>XXXXX</w:t>
      </w:r>
      <w:r>
        <w:rPr>
          <w:rFonts w:ascii="Verdana" w:hAnsi="Verdana" w:cs="Verdana"/>
          <w:i/>
          <w:iCs/>
          <w:sz w:val="16"/>
          <w:szCs w:val="16"/>
          <w:lang w:val="es-ES" w:eastAsia="es-ES"/>
        </w:rPr>
        <w:t xml:space="preserve"> y SJB-</w:t>
      </w:r>
      <w:r w:rsidR="00F875FB">
        <w:rPr>
          <w:rFonts w:ascii="Verdana" w:hAnsi="Verdana" w:cs="Verdana"/>
          <w:i/>
          <w:iCs/>
          <w:sz w:val="16"/>
          <w:szCs w:val="16"/>
          <w:lang w:val="es-ES" w:eastAsia="es-ES"/>
        </w:rPr>
        <w:t>XXXXX</w:t>
      </w:r>
      <w:r>
        <w:rPr>
          <w:rFonts w:ascii="Verdana" w:hAnsi="Verdana" w:cs="Verdana"/>
          <w:i/>
          <w:iCs/>
          <w:sz w:val="16"/>
          <w:szCs w:val="16"/>
          <w:lang w:val="es-ES" w:eastAsia="es-ES"/>
        </w:rPr>
        <w:t xml:space="preserve"> y no volver a colocar asientos en dicho espacio en ninguna de sus unidades.</w:t>
      </w:r>
    </w:p>
    <w:p w:rsidR="00106017" w:rsidRDefault="002258ED">
      <w:pPr>
        <w:numPr>
          <w:ilvl w:val="0"/>
          <w:numId w:val="2"/>
        </w:numPr>
        <w:kinsoku w:val="0"/>
        <w:overflowPunct w:val="0"/>
        <w:autoSpaceDE/>
        <w:autoSpaceDN/>
        <w:adjustRightInd/>
        <w:spacing w:before="12" w:line="19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Ordenar a la empresa </w:t>
      </w:r>
      <w:r>
        <w:rPr>
          <w:rFonts w:ascii="Verdana" w:hAnsi="Verdana" w:cs="Verdana"/>
          <w:b/>
          <w:bCs/>
          <w:i/>
          <w:iCs/>
          <w:sz w:val="16"/>
          <w:szCs w:val="16"/>
          <w:lang w:val="es-ES" w:eastAsia="es-ES"/>
        </w:rPr>
        <w:t>V</w:t>
      </w:r>
      <w:r w:rsidR="00F875FB">
        <w:rPr>
          <w:rFonts w:ascii="Verdana" w:hAnsi="Verdana" w:cs="Verdana"/>
          <w:b/>
          <w:bCs/>
          <w:i/>
          <w:iCs/>
          <w:sz w:val="16"/>
          <w:szCs w:val="16"/>
          <w:lang w:val="es-ES" w:eastAsia="es-ES"/>
        </w:rPr>
        <w:t>.B.</w:t>
      </w:r>
      <w:r>
        <w:rPr>
          <w:rFonts w:ascii="Verdana" w:hAnsi="Verdana" w:cs="Verdana"/>
          <w:b/>
          <w:bCs/>
          <w:i/>
          <w:iCs/>
          <w:sz w:val="16"/>
          <w:szCs w:val="16"/>
          <w:lang w:val="es-ES" w:eastAsia="es-ES"/>
        </w:rPr>
        <w:t xml:space="preserve">S.A., </w:t>
      </w:r>
      <w:r>
        <w:rPr>
          <w:rFonts w:ascii="Verdana" w:hAnsi="Verdana" w:cs="Verdana"/>
          <w:i/>
          <w:iCs/>
          <w:sz w:val="16"/>
          <w:szCs w:val="16"/>
          <w:lang w:val="es-ES" w:eastAsia="es-ES"/>
        </w:rPr>
        <w:t xml:space="preserve">que </w:t>
      </w:r>
      <w:r>
        <w:rPr>
          <w:rFonts w:ascii="Verdana" w:hAnsi="Verdana" w:cs="Verdana"/>
          <w:b/>
          <w:bCs/>
          <w:i/>
          <w:iCs/>
          <w:sz w:val="16"/>
          <w:szCs w:val="16"/>
          <w:lang w:val="es-ES" w:eastAsia="es-ES"/>
        </w:rPr>
        <w:t xml:space="preserve">de forma inmediata </w:t>
      </w:r>
      <w:r>
        <w:rPr>
          <w:rFonts w:ascii="Verdana" w:hAnsi="Verdana" w:cs="Verdana"/>
          <w:i/>
          <w:iCs/>
          <w:sz w:val="16"/>
          <w:szCs w:val="16"/>
          <w:lang w:val="es-ES" w:eastAsia="es-ES"/>
        </w:rPr>
        <w:t>debe velar porque todas sus unidades porten los documentos vigentes, que establece la Ley 9078 (Ley de Tránsito vigente) en el Artículo 4° "Requisitos documentales de circulación"</w:t>
      </w:r>
    </w:p>
    <w:p w:rsidR="00106017" w:rsidRDefault="002258ED">
      <w:pPr>
        <w:numPr>
          <w:ilvl w:val="0"/>
          <w:numId w:val="2"/>
        </w:numPr>
        <w:kinsoku w:val="0"/>
        <w:overflowPunct w:val="0"/>
        <w:autoSpaceDE/>
        <w:autoSpaceDN/>
        <w:adjustRightInd/>
        <w:spacing w:line="19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Ordenar la apertura de un procedimiento administrativo para la averiguación de la verdad real de los hechos, en el cual se garantice el debido proceso y el derecho de defensa. Para el desarrollo de dicho proceso se comisiona a la Dirección de Asuntos Jurídicos de este Consejo. (....)"</w:t>
      </w:r>
    </w:p>
    <w:p w:rsidR="00106017" w:rsidRDefault="002258ED">
      <w:pPr>
        <w:kinsoku w:val="0"/>
        <w:overflowPunct w:val="0"/>
        <w:autoSpaceDE/>
        <w:autoSpaceDN/>
        <w:adjustRightInd/>
        <w:spacing w:before="270" w:line="298"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La empresa recurrente en su líbelo, indica que tanto las medidas que se ordenan por parte del CTP en el acuerdo impugnado a la empresa </w:t>
      </w:r>
      <w:r>
        <w:rPr>
          <w:rFonts w:ascii="Verdana" w:hAnsi="Verdana" w:cs="Verdana"/>
          <w:b/>
          <w:bCs/>
          <w:sz w:val="24"/>
          <w:szCs w:val="24"/>
          <w:lang w:val="es-ES" w:eastAsia="es-ES"/>
        </w:rPr>
        <w:t>V</w:t>
      </w:r>
      <w:r w:rsidR="00F875FB">
        <w:rPr>
          <w:rFonts w:ascii="Verdana" w:hAnsi="Verdana" w:cs="Verdana"/>
          <w:b/>
          <w:bCs/>
          <w:sz w:val="24"/>
          <w:szCs w:val="24"/>
          <w:lang w:val="es-ES" w:eastAsia="es-ES"/>
        </w:rPr>
        <w:t>.B.S.A.</w:t>
      </w:r>
      <w:r>
        <w:rPr>
          <w:rFonts w:ascii="Verdana" w:hAnsi="Verdana" w:cs="Verdana"/>
          <w:b/>
          <w:bCs/>
          <w:sz w:val="24"/>
          <w:szCs w:val="24"/>
          <w:lang w:val="es-ES" w:eastAsia="es-ES"/>
        </w:rPr>
        <w:t xml:space="preserve">, </w:t>
      </w:r>
      <w:r>
        <w:rPr>
          <w:rFonts w:ascii="Verdana" w:hAnsi="Verdana" w:cs="Verdana"/>
          <w:sz w:val="24"/>
          <w:szCs w:val="24"/>
          <w:lang w:val="es-ES" w:eastAsia="es-ES"/>
        </w:rPr>
        <w:t>como la apertura del procedimiento administrativo que se dispone iniciar en su perjuicio son nulas, porque nunca se le dio el derecho a defenderse. (Léanse folios del 9 al 12 del expediente administrativo)</w:t>
      </w:r>
    </w:p>
    <w:p w:rsidR="00106017" w:rsidRDefault="002258ED">
      <w:pPr>
        <w:kinsoku w:val="0"/>
        <w:overflowPunct w:val="0"/>
        <w:autoSpaceDE/>
        <w:autoSpaceDN/>
        <w:adjustRightInd/>
        <w:spacing w:before="292" w:line="291" w:lineRule="exact"/>
        <w:ind w:left="144"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7.15 de la Sesión Ordinaria 41-2017 de 25 de octubre de 2017, </w:t>
      </w:r>
      <w:r>
        <w:rPr>
          <w:rFonts w:ascii="Verdana" w:hAnsi="Verdana" w:cs="Verdana"/>
          <w:spacing w:val="-2"/>
          <w:sz w:val="24"/>
          <w:szCs w:val="24"/>
          <w:lang w:val="es-ES" w:eastAsia="es-ES"/>
        </w:rPr>
        <w:t xml:space="preserve">conoce el informe de la Dirección de Asuntos Jurídicos </w:t>
      </w:r>
      <w:r>
        <w:rPr>
          <w:rFonts w:ascii="Verdana" w:hAnsi="Verdana" w:cs="Verdana"/>
          <w:b/>
          <w:bCs/>
          <w:spacing w:val="-2"/>
          <w:sz w:val="24"/>
          <w:szCs w:val="24"/>
          <w:lang w:val="es-ES" w:eastAsia="es-ES"/>
        </w:rPr>
        <w:t>DA</w:t>
      </w:r>
      <w:r w:rsidR="00F875FB">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-2017-002579 de 20 de octubre de 2017 </w:t>
      </w:r>
      <w:r>
        <w:rPr>
          <w:rFonts w:ascii="Verdana" w:hAnsi="Verdana" w:cs="Verdana"/>
          <w:spacing w:val="-2"/>
          <w:sz w:val="24"/>
          <w:szCs w:val="24"/>
          <w:lang w:val="es-ES" w:eastAsia="es-ES"/>
        </w:rPr>
        <w:t>lo avala y acuerda</w:t>
      </w:r>
    </w:p>
    <w:p w:rsidR="00106017" w:rsidRDefault="00106017">
      <w:pPr>
        <w:widowControl/>
        <w:rPr>
          <w:sz w:val="24"/>
          <w:szCs w:val="24"/>
        </w:rPr>
        <w:sectPr w:rsidR="00106017">
          <w:pgSz w:w="12322" w:h="15763"/>
          <w:pgMar w:top="1380" w:right="1571" w:bottom="267" w:left="1591" w:header="720" w:footer="720" w:gutter="0"/>
          <w:cols w:space="720"/>
          <w:noEndnote/>
        </w:sectPr>
      </w:pPr>
    </w:p>
    <w:p w:rsidR="00106017" w:rsidRDefault="002258ED">
      <w:pPr>
        <w:kinsoku w:val="0"/>
        <w:overflowPunct w:val="0"/>
        <w:autoSpaceDE/>
        <w:autoSpaceDN/>
        <w:adjustRightInd/>
        <w:spacing w:before="26" w:line="287"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rechazar el recurso de Revocatoria presentado, por ser improcedente. (Léanse folios del 2 al 7 del expediente administrativo)</w:t>
      </w:r>
    </w:p>
    <w:p w:rsidR="00106017" w:rsidRDefault="002258ED">
      <w:pPr>
        <w:kinsoku w:val="0"/>
        <w:overflowPunct w:val="0"/>
        <w:autoSpaceDE/>
        <w:autoSpaceDN/>
        <w:adjustRightInd/>
        <w:spacing w:before="283" w:line="293"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106017" w:rsidRDefault="002258ED">
      <w:pPr>
        <w:kinsoku w:val="0"/>
        <w:overflowPunct w:val="0"/>
        <w:autoSpaceDE/>
        <w:autoSpaceDN/>
        <w:adjustRightInd/>
        <w:spacing w:before="292" w:line="293" w:lineRule="exact"/>
        <w:ind w:left="144"/>
        <w:textAlignment w:val="baseline"/>
        <w:rPr>
          <w:rFonts w:ascii="Verdana" w:hAnsi="Verdana" w:cs="Verdana"/>
          <w:sz w:val="24"/>
          <w:szCs w:val="24"/>
          <w:lang w:val="es-ES" w:eastAsia="es-ES"/>
        </w:rPr>
      </w:pPr>
      <w:r>
        <w:rPr>
          <w:rFonts w:ascii="Verdana" w:hAnsi="Verdana" w:cs="Verdana"/>
          <w:sz w:val="24"/>
          <w:szCs w:val="24"/>
          <w:lang w:val="es-ES" w:eastAsia="es-ES"/>
        </w:rPr>
        <w:t>Redacta la Jueza Marta Luz Pérez Peláez; y,</w:t>
      </w:r>
    </w:p>
    <w:p w:rsidR="00106017" w:rsidRDefault="002258ED">
      <w:pPr>
        <w:kinsoku w:val="0"/>
        <w:overflowPunct w:val="0"/>
        <w:autoSpaceDE/>
        <w:autoSpaceDN/>
        <w:adjustRightInd/>
        <w:spacing w:before="580" w:line="294"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ÚNICO</w:t>
      </w:r>
    </w:p>
    <w:p w:rsidR="00106017" w:rsidRDefault="002258ED">
      <w:pPr>
        <w:kinsoku w:val="0"/>
        <w:overflowPunct w:val="0"/>
        <w:autoSpaceDE/>
        <w:autoSpaceDN/>
        <w:adjustRightInd/>
        <w:spacing w:before="584" w:line="293"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recurso planteado por la empresa </w:t>
      </w:r>
      <w:r>
        <w:rPr>
          <w:rFonts w:ascii="Verdana" w:hAnsi="Verdana" w:cs="Verdana"/>
          <w:b/>
          <w:bCs/>
          <w:sz w:val="24"/>
          <w:szCs w:val="24"/>
          <w:lang w:val="es-ES" w:eastAsia="es-ES"/>
        </w:rPr>
        <w:t>V</w:t>
      </w:r>
      <w:r w:rsidR="00F875FB">
        <w:rPr>
          <w:rFonts w:ascii="Verdana" w:hAnsi="Verdana" w:cs="Verdana"/>
          <w:b/>
          <w:bCs/>
          <w:sz w:val="24"/>
          <w:szCs w:val="24"/>
          <w:lang w:val="es-ES" w:eastAsia="es-ES"/>
        </w:rPr>
        <w:t>.B.S.A.</w:t>
      </w:r>
      <w:r>
        <w:rPr>
          <w:rFonts w:ascii="Verdana" w:hAnsi="Verdana" w:cs="Verdana"/>
          <w:b/>
          <w:bCs/>
          <w:sz w:val="24"/>
          <w:szCs w:val="24"/>
          <w:lang w:val="es-ES" w:eastAsia="es-ES"/>
        </w:rPr>
        <w:t xml:space="preserve"> cédula Jurídica </w:t>
      </w:r>
      <w:r w:rsidR="00F875FB">
        <w:rPr>
          <w:rFonts w:ascii="Verdana" w:hAnsi="Verdana" w:cs="Verdana"/>
          <w:b/>
          <w:bCs/>
          <w:sz w:val="24"/>
          <w:szCs w:val="24"/>
          <w:lang w:val="es-ES" w:eastAsia="es-ES"/>
        </w:rPr>
        <w:t>…</w:t>
      </w:r>
      <w:r>
        <w:rPr>
          <w:rFonts w:ascii="Verdana" w:hAnsi="Verdana" w:cs="Verdana"/>
          <w:b/>
          <w:bCs/>
          <w:sz w:val="24"/>
          <w:szCs w:val="24"/>
          <w:lang w:val="es-ES" w:eastAsia="es-ES"/>
        </w:rPr>
        <w:t>, representada por M</w:t>
      </w:r>
      <w:r w:rsidR="00F875FB">
        <w:rPr>
          <w:rFonts w:ascii="Verdana" w:hAnsi="Verdana" w:cs="Verdana"/>
          <w:b/>
          <w:bCs/>
          <w:sz w:val="24"/>
          <w:szCs w:val="24"/>
          <w:lang w:val="es-ES" w:eastAsia="es-ES"/>
        </w:rPr>
        <w:t>.V.H.A.</w:t>
      </w:r>
      <w:r>
        <w:rPr>
          <w:rFonts w:ascii="Verdana" w:hAnsi="Verdana" w:cs="Verdana"/>
          <w:b/>
          <w:bCs/>
          <w:sz w:val="24"/>
          <w:szCs w:val="24"/>
          <w:lang w:val="es-ES" w:eastAsia="es-ES"/>
        </w:rPr>
        <w:t xml:space="preserve"> cédula de identidad número </w:t>
      </w:r>
      <w:r w:rsidR="00F875FB">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Apoderado Generalísimo sin límite de suma, </w:t>
      </w:r>
      <w:r>
        <w:rPr>
          <w:rFonts w:ascii="Verdana" w:hAnsi="Verdana" w:cs="Verdana"/>
          <w:b/>
          <w:bCs/>
          <w:sz w:val="24"/>
          <w:szCs w:val="24"/>
          <w:lang w:val="es-ES" w:eastAsia="es-ES"/>
        </w:rPr>
        <w:t xml:space="preserve">contra el artículo 7.13 de la Sesión Ordinaria 27-2017 de 5 de julio de 2017, </w:t>
      </w:r>
      <w:r>
        <w:rPr>
          <w:rFonts w:ascii="Verdana" w:hAnsi="Verdana" w:cs="Verdana"/>
          <w:sz w:val="24"/>
          <w:szCs w:val="24"/>
          <w:lang w:val="es-ES" w:eastAsia="es-ES"/>
        </w:rPr>
        <w:t>es improcedente y así debe de ser declarado.</w:t>
      </w:r>
    </w:p>
    <w:p w:rsidR="00106017" w:rsidRDefault="002258ED">
      <w:pPr>
        <w:kinsoku w:val="0"/>
        <w:overflowPunct w:val="0"/>
        <w:autoSpaceDE/>
        <w:autoSpaceDN/>
        <w:adjustRightInd/>
        <w:spacing w:before="247" w:line="293"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ha podido verificar, que el acuerdo recurrido, lo que dispone es iniciar un procedimiento administrativo para averiguar la verdad real de los hechos respecto de una serie de incumplimientos que se detectan en estudio </w:t>
      </w:r>
      <w:r>
        <w:rPr>
          <w:rFonts w:ascii="Verdana" w:hAnsi="Verdana" w:cs="Verdana"/>
          <w:b/>
          <w:bCs/>
          <w:sz w:val="24"/>
          <w:szCs w:val="24"/>
          <w:lang w:val="es-ES" w:eastAsia="es-ES"/>
        </w:rPr>
        <w:t xml:space="preserve">DIC-2017-0764 de 30 de junio de 2017 del Departamento de Inspección y Control, </w:t>
      </w:r>
      <w:r>
        <w:rPr>
          <w:rFonts w:ascii="Verdana" w:hAnsi="Verdana" w:cs="Verdana"/>
          <w:sz w:val="24"/>
          <w:szCs w:val="24"/>
          <w:lang w:val="es-ES" w:eastAsia="es-ES"/>
        </w:rPr>
        <w:t>producto de una denuncia presentada por una usuaria, lo que a toda luz constituye un acto administrativo de Mero Trámite que no afecta al recurrente en su esfera personal en cuanto a los Intereses Legítimos o Derechos Subjetivos en este momento; pues lo que dispone es el inicio de un procedimiento administrativo, que procure la verificación de la verdad real de los hechos y en cuyo desarrollo la recurrente tendrá la oportunidad de aportar las pruebas necesarias que sustenten sus argumentos y será el órgano director del procedimiento quien en la búsqueda de aquella verdad el que pueda emitir una recomendación al órgano decisor para que emita una conclusión final; es precisamente el procedimiento el medio idóneo para la protección de los derechos de los administrados y el ejercicio del derecho de defensa.</w:t>
      </w:r>
    </w:p>
    <w:p w:rsidR="00106017" w:rsidRDefault="002258ED">
      <w:pPr>
        <w:kinsoku w:val="0"/>
        <w:overflowPunct w:val="0"/>
        <w:autoSpaceDE/>
        <w:autoSpaceDN/>
        <w:adjustRightInd/>
        <w:spacing w:before="296" w:after="667" w:line="293" w:lineRule="exact"/>
        <w:ind w:left="144" w:right="144"/>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w:t>
      </w:r>
    </w:p>
    <w:p w:rsidR="00106017" w:rsidRDefault="00106017">
      <w:pPr>
        <w:widowControl/>
        <w:rPr>
          <w:sz w:val="24"/>
          <w:szCs w:val="24"/>
        </w:rPr>
        <w:sectPr w:rsidR="00106017">
          <w:pgSz w:w="12312" w:h="15802"/>
          <w:pgMar w:top="1320" w:right="1607" w:bottom="306" w:left="1545" w:header="720" w:footer="720" w:gutter="0"/>
          <w:cols w:space="720"/>
          <w:noEndnote/>
        </w:sectPr>
      </w:pPr>
    </w:p>
    <w:p w:rsidR="00106017" w:rsidRDefault="00106017">
      <w:pPr>
        <w:widowControl/>
        <w:rPr>
          <w:sz w:val="24"/>
          <w:szCs w:val="24"/>
        </w:rPr>
        <w:sectPr w:rsidR="00106017">
          <w:type w:val="continuous"/>
          <w:pgSz w:w="12312" w:h="15802"/>
          <w:pgMar w:top="1320" w:right="1767" w:bottom="306" w:left="7945" w:header="720" w:footer="720" w:gutter="0"/>
          <w:cols w:space="720"/>
          <w:noEndnote/>
        </w:sectPr>
      </w:pPr>
    </w:p>
    <w:p w:rsidR="00106017" w:rsidRDefault="002258ED">
      <w:pPr>
        <w:kinsoku w:val="0"/>
        <w:overflowPunct w:val="0"/>
        <w:autoSpaceDE/>
        <w:autoSpaceDN/>
        <w:adjustRightInd/>
        <w:spacing w:before="24" w:line="285" w:lineRule="exact"/>
        <w:ind w:left="144"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preparatorios que frecuentemente condiciona la validez del acto principal" </w:t>
      </w:r>
      <w:r>
        <w:rPr>
          <w:rFonts w:ascii="Verdana" w:hAnsi="Verdana" w:cs="Verdana"/>
          <w:sz w:val="24"/>
          <w:szCs w:val="24"/>
          <w:u w:val="single"/>
          <w:lang w:val="es-ES" w:eastAsia="es-ES"/>
        </w:rPr>
        <w:t>(Diccionario de Derecho Público,</w:t>
      </w:r>
      <w:r>
        <w:rPr>
          <w:rFonts w:ascii="Verdana" w:hAnsi="Verdana" w:cs="Verdana"/>
          <w:sz w:val="24"/>
          <w:szCs w:val="24"/>
          <w:lang w:val="es-ES" w:eastAsia="es-ES"/>
        </w:rPr>
        <w:t xml:space="preserve"> Editorial Astrea de Alfredo y Ricardo </w:t>
      </w:r>
      <w:proofErr w:type="spellStart"/>
      <w:r>
        <w:rPr>
          <w:rFonts w:ascii="Verdana" w:hAnsi="Verdana" w:cs="Verdana"/>
          <w:sz w:val="24"/>
          <w:szCs w:val="24"/>
          <w:lang w:val="es-ES" w:eastAsia="es-ES"/>
        </w:rPr>
        <w:t>Depalma</w:t>
      </w:r>
      <w:proofErr w:type="spellEnd"/>
      <w:r>
        <w:rPr>
          <w:rFonts w:ascii="Verdana" w:hAnsi="Verdana" w:cs="Verdana"/>
          <w:sz w:val="24"/>
          <w:szCs w:val="24"/>
          <w:lang w:val="es-ES" w:eastAsia="es-ES"/>
        </w:rPr>
        <w:t>, Buenos Aires, 1981, Pág.23)</w:t>
      </w:r>
    </w:p>
    <w:p w:rsidR="00106017" w:rsidRDefault="002258ED">
      <w:pPr>
        <w:kinsoku w:val="0"/>
        <w:overflowPunct w:val="0"/>
        <w:autoSpaceDE/>
        <w:autoSpaceDN/>
        <w:adjustRightInd/>
        <w:spacing w:before="265" w:line="292" w:lineRule="exact"/>
        <w:ind w:left="144"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w:t>
      </w:r>
      <w:r>
        <w:rPr>
          <w:rFonts w:ascii="Verdana" w:hAnsi="Verdana" w:cs="Verdana"/>
          <w:b/>
          <w:bCs/>
          <w:sz w:val="24"/>
          <w:szCs w:val="24"/>
          <w:lang w:val="es-ES" w:eastAsia="es-ES"/>
        </w:rPr>
        <w:t xml:space="preserve">Tribunal Contencioso Administrativo, Sección IV, </w:t>
      </w:r>
      <w:r>
        <w:rPr>
          <w:rFonts w:ascii="Verdana" w:hAnsi="Verdana" w:cs="Verdana"/>
          <w:sz w:val="24"/>
          <w:szCs w:val="24"/>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106017" w:rsidRDefault="002258ED">
      <w:pPr>
        <w:kinsoku w:val="0"/>
        <w:overflowPunct w:val="0"/>
        <w:autoSpaceDE/>
        <w:autoSpaceDN/>
        <w:adjustRightInd/>
        <w:spacing w:before="363" w:line="192" w:lineRule="exact"/>
        <w:ind w:left="648" w:right="792"/>
        <w:jc w:val="both"/>
        <w:textAlignment w:val="baseline"/>
        <w:rPr>
          <w:rFonts w:ascii="Verdana" w:hAnsi="Verdana" w:cs="Verdana"/>
          <w:spacing w:val="1"/>
          <w:sz w:val="16"/>
          <w:szCs w:val="16"/>
          <w:lang w:val="es-ES" w:eastAsia="es-ES"/>
        </w:rPr>
      </w:pPr>
      <w:r>
        <w:rPr>
          <w:rFonts w:ascii="Verdana" w:hAnsi="Verdana" w:cs="Verdana"/>
          <w:spacing w:val="1"/>
          <w:sz w:val="16"/>
          <w:szCs w:val="16"/>
          <w:lang w:val="es-ES" w:eastAsia="es-ES"/>
        </w:rPr>
        <w:t xml:space="preserve">"El representante del codemandado Germán Sánchez Mora, alega que constituye un </w:t>
      </w:r>
      <w:r>
        <w:rPr>
          <w:rFonts w:ascii="Verdana" w:hAnsi="Verdana" w:cs="Verdana"/>
          <w:b/>
          <w:bCs/>
          <w:spacing w:val="1"/>
          <w:sz w:val="16"/>
          <w:szCs w:val="16"/>
          <w:lang w:val="es-ES" w:eastAsia="es-ES"/>
        </w:rPr>
        <w:t xml:space="preserve">acto </w:t>
      </w:r>
      <w:r>
        <w:rPr>
          <w:rFonts w:ascii="Verdana" w:hAnsi="Verdana" w:cs="Verdana"/>
          <w:spacing w:val="1"/>
          <w:sz w:val="16"/>
          <w:szCs w:val="16"/>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pacing w:val="1"/>
          <w:sz w:val="16"/>
          <w:szCs w:val="16"/>
          <w:lang w:val="es-ES" w:eastAsia="es-ES"/>
        </w:rPr>
        <w:t xml:space="preserve">acto </w:t>
      </w:r>
      <w:r>
        <w:rPr>
          <w:rFonts w:ascii="Verdana" w:hAnsi="Verdana" w:cs="Verdana"/>
          <w:spacing w:val="1"/>
          <w:sz w:val="16"/>
          <w:szCs w:val="16"/>
          <w:lang w:val="es-ES" w:eastAsia="es-ES"/>
        </w:rPr>
        <w:t xml:space="preserve">de mero </w:t>
      </w:r>
      <w:r>
        <w:rPr>
          <w:rFonts w:ascii="Verdana" w:hAnsi="Verdana" w:cs="Verdana"/>
          <w:b/>
          <w:bCs/>
          <w:spacing w:val="1"/>
          <w:sz w:val="16"/>
          <w:szCs w:val="16"/>
          <w:lang w:val="es-ES" w:eastAsia="es-ES"/>
        </w:rPr>
        <w:t xml:space="preserve">trámite </w:t>
      </w:r>
      <w:r>
        <w:rPr>
          <w:rFonts w:ascii="Verdana" w:hAnsi="Verdana" w:cs="Verdana"/>
          <w:spacing w:val="1"/>
          <w:sz w:val="16"/>
          <w:szCs w:val="16"/>
          <w:lang w:val="es-ES" w:eastAsia="es-ES"/>
        </w:rPr>
        <w:t xml:space="preserve">sin que cause por sí mismo, un efecto propio. Respecto a los </w:t>
      </w:r>
      <w:r>
        <w:rPr>
          <w:rFonts w:ascii="Verdana" w:hAnsi="Verdana" w:cs="Verdana"/>
          <w:b/>
          <w:bCs/>
          <w:spacing w:val="1"/>
          <w:sz w:val="16"/>
          <w:szCs w:val="16"/>
          <w:lang w:val="es-ES" w:eastAsia="es-ES"/>
        </w:rPr>
        <w:t xml:space="preserve">actos </w:t>
      </w:r>
      <w:r>
        <w:rPr>
          <w:rFonts w:ascii="Verdana" w:hAnsi="Verdana" w:cs="Verdana"/>
          <w:spacing w:val="1"/>
          <w:sz w:val="16"/>
          <w:szCs w:val="16"/>
          <w:lang w:val="es-ES" w:eastAsia="es-ES"/>
        </w:rPr>
        <w:t xml:space="preserve">de mero </w:t>
      </w:r>
      <w:r>
        <w:rPr>
          <w:rFonts w:ascii="Verdana" w:hAnsi="Verdana" w:cs="Verdana"/>
          <w:b/>
          <w:bCs/>
          <w:spacing w:val="1"/>
          <w:sz w:val="16"/>
          <w:szCs w:val="16"/>
          <w:lang w:val="es-ES" w:eastAsia="es-ES"/>
        </w:rPr>
        <w:t xml:space="preserve">trámite </w:t>
      </w:r>
      <w:r>
        <w:rPr>
          <w:rFonts w:ascii="Verdana" w:hAnsi="Verdana" w:cs="Verdana"/>
          <w:spacing w:val="1"/>
          <w:sz w:val="16"/>
          <w:szCs w:val="16"/>
          <w:lang w:val="es-ES" w:eastAsia="es-ES"/>
        </w:rPr>
        <w:t xml:space="preserve">el Tribunal de Casación de lo Contencioso </w:t>
      </w:r>
      <w:r>
        <w:rPr>
          <w:rFonts w:ascii="Verdana" w:hAnsi="Verdana" w:cs="Verdana"/>
          <w:b/>
          <w:bCs/>
          <w:spacing w:val="1"/>
          <w:sz w:val="16"/>
          <w:szCs w:val="16"/>
          <w:lang w:val="es-ES" w:eastAsia="es-ES"/>
        </w:rPr>
        <w:t xml:space="preserve">Administrativo </w:t>
      </w:r>
      <w:r>
        <w:rPr>
          <w:rFonts w:ascii="Verdana" w:hAnsi="Verdana" w:cs="Verdana"/>
          <w:spacing w:val="1"/>
          <w:sz w:val="16"/>
          <w:szCs w:val="16"/>
          <w:lang w:val="es-ES" w:eastAsia="es-ES"/>
        </w:rPr>
        <w:t>ha dispuesto:</w:t>
      </w:r>
    </w:p>
    <w:p w:rsidR="00106017" w:rsidRDefault="002258ED">
      <w:pPr>
        <w:kinsoku w:val="0"/>
        <w:overflowPunct w:val="0"/>
        <w:autoSpaceDE/>
        <w:autoSpaceDN/>
        <w:adjustRightInd/>
        <w:spacing w:before="191" w:line="211" w:lineRule="exact"/>
        <w:ind w:left="648"/>
        <w:jc w:val="both"/>
        <w:textAlignment w:val="baseline"/>
        <w:rPr>
          <w:rFonts w:ascii="Verdana" w:hAnsi="Verdana" w:cs="Verdana"/>
          <w:sz w:val="24"/>
          <w:szCs w:val="24"/>
          <w:lang w:eastAsia="en-US"/>
        </w:rPr>
      </w:pPr>
      <w:r>
        <w:rPr>
          <w:spacing w:val="2"/>
          <w:lang w:val="es-ES" w:eastAsia="es-ES"/>
        </w:rPr>
        <w:t>"</w:t>
      </w:r>
      <w:proofErr w:type="gramStart"/>
      <w:r>
        <w:rPr>
          <w:spacing w:val="2"/>
          <w:lang w:val="es-ES" w:eastAsia="es-ES"/>
        </w:rPr>
        <w:t>III.</w:t>
      </w:r>
      <w:r>
        <w:rPr>
          <w:spacing w:val="2"/>
          <w:lang w:val="es-ES" w:eastAsia="es-ES"/>
        </w:rPr>
        <w:noBreakHyphen/>
      </w:r>
      <w:proofErr w:type="gramEnd"/>
    </w:p>
    <w:p w:rsidR="00106017" w:rsidRDefault="002258ED">
      <w:pPr>
        <w:kinsoku w:val="0"/>
        <w:overflowPunct w:val="0"/>
        <w:autoSpaceDE/>
        <w:autoSpaceDN/>
        <w:adjustRightInd/>
        <w:spacing w:line="193" w:lineRule="exact"/>
        <w:ind w:left="648" w:right="792"/>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En lo tocante a la diferencia entre los </w:t>
      </w:r>
      <w:r>
        <w:rPr>
          <w:rFonts w:ascii="Verdana" w:hAnsi="Verdana" w:cs="Verdana"/>
          <w:b/>
          <w:bCs/>
          <w:sz w:val="16"/>
          <w:szCs w:val="16"/>
          <w:lang w:val="es-ES" w:eastAsia="es-ES"/>
        </w:rPr>
        <w:t xml:space="preserve">actos </w:t>
      </w:r>
      <w:r>
        <w:rPr>
          <w:rFonts w:ascii="Verdana" w:hAnsi="Verdana" w:cs="Verdana"/>
          <w:sz w:val="16"/>
          <w:szCs w:val="16"/>
          <w:lang w:val="es-ES" w:eastAsia="es-ES"/>
        </w:rPr>
        <w:t xml:space="preserve">preparatorios y los </w:t>
      </w:r>
      <w:r>
        <w:rPr>
          <w:rFonts w:ascii="Verdana" w:hAnsi="Verdana" w:cs="Verdana"/>
          <w:b/>
          <w:bCs/>
          <w:sz w:val="16"/>
          <w:szCs w:val="16"/>
          <w:lang w:val="es-ES" w:eastAsia="es-ES"/>
        </w:rPr>
        <w:t xml:space="preserve">actos </w:t>
      </w:r>
      <w:r>
        <w:rPr>
          <w:rFonts w:ascii="Verdana" w:hAnsi="Verdana" w:cs="Verdana"/>
          <w:sz w:val="16"/>
          <w:szCs w:val="16"/>
          <w:lang w:val="es-ES" w:eastAsia="es-ES"/>
        </w:rPr>
        <w:t xml:space="preserve">finales o con efectos propios este Tribunal de Casación expresó: "Para que un </w:t>
      </w:r>
      <w:r>
        <w:rPr>
          <w:rFonts w:ascii="Verdana" w:hAnsi="Verdana" w:cs="Verdana"/>
          <w:b/>
          <w:bCs/>
          <w:sz w:val="16"/>
          <w:szCs w:val="16"/>
          <w:lang w:val="es-ES" w:eastAsia="es-ES"/>
        </w:rPr>
        <w:t xml:space="preserve">acto administrativo </w:t>
      </w:r>
      <w:r>
        <w:rPr>
          <w:rFonts w:ascii="Verdana" w:hAnsi="Verdana" w:cs="Verdana"/>
          <w:sz w:val="16"/>
          <w:szCs w:val="16"/>
          <w:lang w:val="es-ES" w:eastAsia="es-ES"/>
        </w:rPr>
        <w:t xml:space="preserve">posea efectos jurídicos propios no debe estar subordinado a ningún otro posterior. Ha de generar efectos sobre los administrados, a diferencia de los de </w:t>
      </w:r>
      <w:r>
        <w:rPr>
          <w:rFonts w:ascii="Verdana" w:hAnsi="Verdana" w:cs="Verdana"/>
          <w:b/>
          <w:bCs/>
          <w:sz w:val="16"/>
          <w:szCs w:val="16"/>
          <w:lang w:val="es-ES" w:eastAsia="es-ES"/>
        </w:rPr>
        <w:t xml:space="preserve">trámite </w:t>
      </w:r>
      <w:r>
        <w:rPr>
          <w:rFonts w:ascii="Verdana" w:hAnsi="Verdana" w:cs="Verdana"/>
          <w:sz w:val="16"/>
          <w:szCs w:val="16"/>
          <w:lang w:val="es-ES" w:eastAsia="es-ES"/>
        </w:rPr>
        <w:t xml:space="preserve">o preparatorios que informan o preparan la emisión del </w:t>
      </w:r>
      <w:r>
        <w:rPr>
          <w:rFonts w:ascii="Verdana" w:hAnsi="Verdana" w:cs="Verdana"/>
          <w:b/>
          <w:bCs/>
          <w:sz w:val="16"/>
          <w:szCs w:val="16"/>
          <w:lang w:val="es-ES" w:eastAsia="es-ES"/>
        </w:rPr>
        <w:t xml:space="preserve">acto administrativo </w:t>
      </w:r>
      <w:r>
        <w:rPr>
          <w:rFonts w:ascii="Verdana" w:hAnsi="Verdana" w:cs="Verdana"/>
          <w:sz w:val="16"/>
          <w:szCs w:val="16"/>
          <w:lang w:val="es-ES" w:eastAsia="es-ES"/>
        </w:rPr>
        <w:t xml:space="preserve">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Pr>
          <w:rFonts w:ascii="Verdana" w:hAnsi="Verdana" w:cs="Verdana"/>
          <w:b/>
          <w:bCs/>
          <w:sz w:val="16"/>
          <w:szCs w:val="16"/>
          <w:lang w:val="es-ES" w:eastAsia="es-ES"/>
        </w:rPr>
        <w:t xml:space="preserve">actos </w:t>
      </w:r>
      <w:r>
        <w:rPr>
          <w:rFonts w:ascii="Verdana" w:hAnsi="Verdana" w:cs="Verdana"/>
          <w:sz w:val="16"/>
          <w:szCs w:val="16"/>
          <w:lang w:val="es-ES" w:eastAsia="es-ES"/>
        </w:rPr>
        <w:t xml:space="preserve">previos no sean impugnables, sino que deben serlo junto con el </w:t>
      </w:r>
      <w:r>
        <w:rPr>
          <w:rFonts w:ascii="Verdana" w:hAnsi="Verdana" w:cs="Verdana"/>
          <w:b/>
          <w:bCs/>
          <w:sz w:val="16"/>
          <w:szCs w:val="16"/>
          <w:lang w:val="es-ES" w:eastAsia="es-ES"/>
        </w:rPr>
        <w:t xml:space="preserve">acto </w:t>
      </w:r>
      <w:r>
        <w:rPr>
          <w:rFonts w:ascii="Verdana" w:hAnsi="Verdana" w:cs="Verdana"/>
          <w:sz w:val="16"/>
          <w:szCs w:val="16"/>
          <w:lang w:val="es-ES" w:eastAsia="es-ES"/>
        </w:rPr>
        <w:t xml:space="preserve">final, que posee efectos jurídicos propios (no. 4075 de las 10 horas con 36 minutos de 1995)". </w:t>
      </w:r>
      <w:proofErr w:type="spellStart"/>
      <w:r>
        <w:rPr>
          <w:rFonts w:ascii="Verdana" w:hAnsi="Verdana" w:cs="Verdana"/>
          <w:sz w:val="16"/>
          <w:szCs w:val="16"/>
          <w:lang w:val="es-ES" w:eastAsia="es-ES"/>
        </w:rPr>
        <w:t>N°</w:t>
      </w:r>
      <w:proofErr w:type="spellEnd"/>
      <w:r>
        <w:rPr>
          <w:rFonts w:ascii="Verdana" w:hAnsi="Verdana" w:cs="Verdana"/>
          <w:sz w:val="16"/>
          <w:szCs w:val="16"/>
          <w:lang w:val="es-ES" w:eastAsia="es-ES"/>
        </w:rPr>
        <w:t xml:space="preserve"> 104 de las 11 horas 10 minutos del primero de junio de 2009</w:t>
      </w:r>
      <w:proofErr w:type="gramStart"/>
      <w:r>
        <w:rPr>
          <w:rFonts w:ascii="Verdana" w:hAnsi="Verdana" w:cs="Verdana"/>
          <w:sz w:val="16"/>
          <w:szCs w:val="16"/>
          <w:lang w:val="es-ES" w:eastAsia="es-ES"/>
        </w:rPr>
        <w:t>.)(</w:t>
      </w:r>
      <w:proofErr w:type="gramEnd"/>
      <w:r>
        <w:rPr>
          <w:rFonts w:ascii="Verdana" w:hAnsi="Verdana" w:cs="Verdana"/>
          <w:sz w:val="16"/>
          <w:szCs w:val="16"/>
          <w:lang w:val="es-ES" w:eastAsia="es-ES"/>
        </w:rPr>
        <w:t>Sentencia: 00014 Expediente: 10-001549</w:t>
      </w:r>
      <w:r>
        <w:rPr>
          <w:rFonts w:ascii="Verdana" w:hAnsi="Verdana" w:cs="Verdana"/>
          <w:sz w:val="16"/>
          <w:szCs w:val="16"/>
          <w:lang w:val="es-ES" w:eastAsia="es-ES"/>
        </w:rPr>
        <w:softHyphen/>
        <w:t>1027-CA Fecha: 22/03/2012 Hora: 08:30)""</w:t>
      </w:r>
    </w:p>
    <w:p w:rsidR="00106017" w:rsidRDefault="002258ED">
      <w:pPr>
        <w:kinsoku w:val="0"/>
        <w:overflowPunct w:val="0"/>
        <w:autoSpaceDE/>
        <w:autoSpaceDN/>
        <w:adjustRightInd/>
        <w:spacing w:before="311" w:line="279" w:lineRule="exact"/>
        <w:ind w:left="144"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Por lo indicado, debe recordarse que en el procedimiento administrativo ordinario los actos que pueden impugnarse son:</w:t>
      </w:r>
    </w:p>
    <w:p w:rsidR="00106017" w:rsidRDefault="002258ED">
      <w:pPr>
        <w:kinsoku w:val="0"/>
        <w:overflowPunct w:val="0"/>
        <w:autoSpaceDE/>
        <w:autoSpaceDN/>
        <w:adjustRightInd/>
        <w:spacing w:before="277" w:line="292" w:lineRule="exact"/>
        <w:ind w:left="144"/>
        <w:textAlignment w:val="baseline"/>
        <w:rPr>
          <w:rFonts w:ascii="Verdana" w:hAnsi="Verdana" w:cs="Verdana"/>
          <w:sz w:val="24"/>
          <w:szCs w:val="24"/>
          <w:lang w:eastAsia="en-US"/>
        </w:rPr>
      </w:pPr>
      <w:r>
        <w:rPr>
          <w:rFonts w:ascii="Verdana" w:hAnsi="Verdana" w:cs="Verdana"/>
          <w:spacing w:val="-2"/>
          <w:sz w:val="24"/>
          <w:szCs w:val="24"/>
          <w:lang w:val="es-ES" w:eastAsia="es-ES"/>
        </w:rPr>
        <w:t xml:space="preserve">Artículo </w:t>
      </w:r>
      <w:proofErr w:type="gramStart"/>
      <w:r>
        <w:rPr>
          <w:rFonts w:ascii="Verdana" w:hAnsi="Verdana" w:cs="Verdana"/>
          <w:spacing w:val="-2"/>
          <w:sz w:val="24"/>
          <w:szCs w:val="24"/>
          <w:lang w:val="es-ES" w:eastAsia="es-ES"/>
        </w:rPr>
        <w:t>345.</w:t>
      </w:r>
      <w:r>
        <w:rPr>
          <w:rFonts w:ascii="Verdana" w:hAnsi="Verdana" w:cs="Verdana"/>
          <w:spacing w:val="-2"/>
          <w:sz w:val="24"/>
          <w:szCs w:val="24"/>
          <w:lang w:val="es-ES" w:eastAsia="es-ES"/>
        </w:rPr>
        <w:noBreakHyphen/>
      </w:r>
      <w:proofErr w:type="gramEnd"/>
    </w:p>
    <w:p w:rsidR="00106017" w:rsidRDefault="002258ED">
      <w:pPr>
        <w:numPr>
          <w:ilvl w:val="0"/>
          <w:numId w:val="3"/>
        </w:numPr>
        <w:kinsoku w:val="0"/>
        <w:overflowPunct w:val="0"/>
        <w:autoSpaceDE/>
        <w:autoSpaceDN/>
        <w:adjustRightInd/>
        <w:spacing w:line="291" w:lineRule="exact"/>
        <w:ind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procedimiento ordinario cabrán los recursos ordinarios únicamente contra el acto que lo inicie, contra el que deniega la comparecencia oral </w:t>
      </w:r>
      <w:proofErr w:type="spellStart"/>
      <w:r>
        <w:rPr>
          <w:rFonts w:ascii="Verdana" w:hAnsi="Verdana" w:cs="Verdana"/>
          <w:i/>
          <w:iCs/>
          <w:sz w:val="24"/>
          <w:szCs w:val="24"/>
          <w:lang w:val="es-ES" w:eastAsia="es-ES"/>
        </w:rPr>
        <w:t>ó</w:t>
      </w:r>
      <w:proofErr w:type="spellEnd"/>
      <w:r>
        <w:rPr>
          <w:rFonts w:ascii="Verdana" w:hAnsi="Verdana" w:cs="Verdana"/>
          <w:i/>
          <w:iCs/>
          <w:sz w:val="24"/>
          <w:szCs w:val="24"/>
          <w:lang w:val="es-ES" w:eastAsia="es-ES"/>
        </w:rPr>
        <w:t xml:space="preserve"> </w:t>
      </w:r>
      <w:r>
        <w:rPr>
          <w:rFonts w:ascii="Verdana" w:hAnsi="Verdana" w:cs="Verdana"/>
          <w:sz w:val="24"/>
          <w:szCs w:val="24"/>
          <w:lang w:val="es-ES" w:eastAsia="es-ES"/>
        </w:rPr>
        <w:t>cualquier prueba y contra el acto final.</w:t>
      </w:r>
    </w:p>
    <w:p w:rsidR="00106017" w:rsidRDefault="002258ED">
      <w:pPr>
        <w:numPr>
          <w:ilvl w:val="0"/>
          <w:numId w:val="4"/>
        </w:numPr>
        <w:kinsoku w:val="0"/>
        <w:overflowPunct w:val="0"/>
        <w:autoSpaceDE/>
        <w:autoSpaceDN/>
        <w:adjustRightInd/>
        <w:spacing w:line="291" w:lineRule="exact"/>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La revocatoria contra el acto final del jerarca se regirá por las reglas</w:t>
      </w:r>
    </w:p>
    <w:p w:rsidR="00106017" w:rsidRDefault="002258ED">
      <w:pPr>
        <w:kinsoku w:val="0"/>
        <w:overflowPunct w:val="0"/>
        <w:autoSpaceDE/>
        <w:autoSpaceDN/>
        <w:adjustRightInd/>
        <w:spacing w:before="6" w:line="292" w:lineRule="exact"/>
        <w:ind w:left="144"/>
        <w:textAlignment w:val="baseline"/>
        <w:rPr>
          <w:rFonts w:ascii="Verdana" w:hAnsi="Verdana" w:cs="Verdana"/>
          <w:sz w:val="24"/>
          <w:szCs w:val="24"/>
          <w:lang w:val="es-ES" w:eastAsia="es-ES"/>
        </w:rPr>
      </w:pPr>
      <w:r>
        <w:rPr>
          <w:rFonts w:ascii="Verdana" w:hAnsi="Verdana" w:cs="Verdana"/>
          <w:sz w:val="24"/>
          <w:szCs w:val="24"/>
          <w:lang w:val="es-ES" w:eastAsia="es-ES"/>
        </w:rPr>
        <w:t>de la reposición de la Ley</w:t>
      </w:r>
    </w:p>
    <w:p w:rsidR="00106017" w:rsidRDefault="002258ED">
      <w:pPr>
        <w:kinsoku w:val="0"/>
        <w:overflowPunct w:val="0"/>
        <w:autoSpaceDE/>
        <w:autoSpaceDN/>
        <w:adjustRightInd/>
        <w:spacing w:line="292" w:lineRule="exact"/>
        <w:ind w:left="144"/>
        <w:textAlignment w:val="baseline"/>
        <w:rPr>
          <w:rFonts w:ascii="Verdana" w:hAnsi="Verdana" w:cs="Verdana"/>
          <w:sz w:val="24"/>
          <w:szCs w:val="24"/>
          <w:lang w:val="es-ES" w:eastAsia="es-ES"/>
        </w:rPr>
      </w:pPr>
      <w:r>
        <w:rPr>
          <w:rFonts w:ascii="Verdana" w:hAnsi="Verdana" w:cs="Verdana"/>
          <w:sz w:val="24"/>
          <w:szCs w:val="24"/>
          <w:lang w:val="es-ES" w:eastAsia="es-ES"/>
        </w:rPr>
        <w:t>Reguladora de la Jurisdicción Contencioso Administrativa.</w:t>
      </w:r>
    </w:p>
    <w:p w:rsidR="00106017" w:rsidRDefault="002258ED">
      <w:pPr>
        <w:numPr>
          <w:ilvl w:val="0"/>
          <w:numId w:val="4"/>
        </w:numPr>
        <w:kinsoku w:val="0"/>
        <w:overflowPunct w:val="0"/>
        <w:autoSpaceDE/>
        <w:autoSpaceDN/>
        <w:adjustRightInd/>
        <w:spacing w:before="7" w:line="292" w:lineRule="exact"/>
        <w:ind w:right="288"/>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Se considerará como final también el acto de tramitación que suspenda indefinidamente o haga imposible la continuación del procedimiento.</w:t>
      </w:r>
    </w:p>
    <w:p w:rsidR="00106017" w:rsidRDefault="002258ED">
      <w:pPr>
        <w:kinsoku w:val="0"/>
        <w:overflowPunct w:val="0"/>
        <w:autoSpaceDE/>
        <w:autoSpaceDN/>
        <w:adjustRightInd/>
        <w:spacing w:before="300" w:after="907" w:line="292" w:lineRule="exact"/>
        <w:ind w:left="144" w:right="288"/>
        <w:jc w:val="both"/>
        <w:textAlignment w:val="baseline"/>
        <w:rPr>
          <w:rFonts w:ascii="Verdana" w:hAnsi="Verdana" w:cs="Verdana"/>
          <w:sz w:val="24"/>
          <w:szCs w:val="24"/>
          <w:lang w:val="es-ES" w:eastAsia="es-ES"/>
        </w:rPr>
      </w:pPr>
      <w:r>
        <w:rPr>
          <w:rFonts w:ascii="Verdana" w:hAnsi="Verdana" w:cs="Verdana"/>
          <w:sz w:val="24"/>
          <w:szCs w:val="24"/>
          <w:lang w:val="es-ES" w:eastAsia="es-ES"/>
        </w:rPr>
        <w:t>Al ser el acto impugnado una disposición de mero trámite y por su naturaleza inimpugnable, el recurso debe ser desestimado por improcedente.</w:t>
      </w:r>
    </w:p>
    <w:p w:rsidR="00106017" w:rsidRDefault="00106017">
      <w:pPr>
        <w:widowControl/>
        <w:rPr>
          <w:sz w:val="24"/>
          <w:szCs w:val="24"/>
        </w:rPr>
        <w:sectPr w:rsidR="00106017">
          <w:pgSz w:w="12312" w:h="15802"/>
          <w:pgMar w:top="1420" w:right="1426" w:bottom="246" w:left="1610" w:header="720" w:footer="720" w:gutter="0"/>
          <w:cols w:space="720"/>
          <w:noEndnote/>
        </w:sectPr>
      </w:pPr>
    </w:p>
    <w:p w:rsidR="00106017" w:rsidRDefault="00106017">
      <w:pPr>
        <w:widowControl/>
        <w:rPr>
          <w:sz w:val="24"/>
          <w:szCs w:val="24"/>
        </w:rPr>
        <w:sectPr w:rsidR="00106017">
          <w:type w:val="continuous"/>
          <w:pgSz w:w="12312" w:h="15802"/>
          <w:pgMar w:top="1420" w:right="1426" w:bottom="246" w:left="8006" w:header="720" w:footer="720" w:gutter="0"/>
          <w:cols w:space="720"/>
          <w:noEndnote/>
        </w:sectPr>
      </w:pPr>
    </w:p>
    <w:p w:rsidR="00106017" w:rsidRDefault="002258ED">
      <w:pPr>
        <w:kinsoku w:val="0"/>
        <w:overflowPunct w:val="0"/>
        <w:autoSpaceDE/>
        <w:autoSpaceDN/>
        <w:adjustRightInd/>
        <w:spacing w:before="23" w:line="284" w:lineRule="exact"/>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lastRenderedPageBreak/>
        <w:t>Ahora bien, en cuanto al fondo del asunto respecto al estudio realizado, este Tribunal se abstiene de emitir criterio alguno, pues eventualmente podría este órgano tener que entrar a conocer de los mismos una vez concluido el procedimiento administrativo que se ha ordenado y por ende podría incurrir en adelantamiento de criterio en este momento.</w:t>
      </w:r>
    </w:p>
    <w:p w:rsidR="00106017" w:rsidRDefault="002258ED">
      <w:pPr>
        <w:kinsoku w:val="0"/>
        <w:overflowPunct w:val="0"/>
        <w:autoSpaceDE/>
        <w:autoSpaceDN/>
        <w:adjustRightInd/>
        <w:spacing w:before="585" w:line="272" w:lineRule="exact"/>
        <w:jc w:val="center"/>
        <w:textAlignment w:val="baseline"/>
        <w:rPr>
          <w:rFonts w:ascii="Tahoma" w:hAnsi="Tahoma" w:cs="Tahoma"/>
          <w:b/>
          <w:bCs/>
          <w:spacing w:val="9"/>
          <w:sz w:val="24"/>
          <w:szCs w:val="24"/>
          <w:lang w:val="es-ES" w:eastAsia="es-ES"/>
        </w:rPr>
      </w:pPr>
      <w:r>
        <w:rPr>
          <w:rFonts w:ascii="Tahoma" w:hAnsi="Tahoma" w:cs="Tahoma"/>
          <w:b/>
          <w:bCs/>
          <w:spacing w:val="9"/>
          <w:sz w:val="24"/>
          <w:szCs w:val="24"/>
          <w:lang w:val="es-ES" w:eastAsia="es-ES"/>
        </w:rPr>
        <w:t>POR TANTO</w:t>
      </w:r>
    </w:p>
    <w:p w:rsidR="00106017" w:rsidRDefault="002258ED">
      <w:pPr>
        <w:numPr>
          <w:ilvl w:val="0"/>
          <w:numId w:val="5"/>
        </w:numPr>
        <w:kinsoku w:val="0"/>
        <w:overflowPunct w:val="0"/>
        <w:autoSpaceDE/>
        <w:autoSpaceDN/>
        <w:adjustRightInd/>
        <w:spacing w:before="622" w:line="280" w:lineRule="exact"/>
        <w:jc w:val="both"/>
        <w:textAlignment w:val="baseline"/>
        <w:rPr>
          <w:rFonts w:ascii="Tahoma" w:hAnsi="Tahoma" w:cs="Tahoma"/>
          <w:spacing w:val="5"/>
          <w:sz w:val="24"/>
          <w:szCs w:val="24"/>
          <w:lang w:val="es-ES" w:eastAsia="es-ES"/>
        </w:rPr>
      </w:pPr>
      <w:r>
        <w:rPr>
          <w:rFonts w:ascii="Tahoma" w:hAnsi="Tahoma" w:cs="Tahoma"/>
          <w:spacing w:val="5"/>
          <w:sz w:val="24"/>
          <w:szCs w:val="24"/>
          <w:lang w:val="es-ES" w:eastAsia="es-ES"/>
        </w:rPr>
        <w:t xml:space="preserve">Se rechaza por Improcedente </w:t>
      </w:r>
      <w:r>
        <w:rPr>
          <w:rFonts w:ascii="Tahoma" w:hAnsi="Tahoma" w:cs="Tahoma"/>
          <w:b/>
          <w:bCs/>
          <w:spacing w:val="5"/>
          <w:sz w:val="24"/>
          <w:szCs w:val="24"/>
          <w:lang w:val="es-ES" w:eastAsia="es-ES"/>
        </w:rPr>
        <w:t xml:space="preserve">RECURSO DE APELACIÓN EN SUBSIDIO, NULIDAD CONCOMITANTE INTERPUESTO </w:t>
      </w:r>
      <w:r>
        <w:rPr>
          <w:rFonts w:ascii="Tahoma" w:hAnsi="Tahoma" w:cs="Tahoma"/>
          <w:spacing w:val="5"/>
          <w:sz w:val="24"/>
          <w:szCs w:val="24"/>
          <w:lang w:val="es-ES" w:eastAsia="es-ES"/>
        </w:rPr>
        <w:t xml:space="preserve">por la empresa </w:t>
      </w:r>
      <w:r>
        <w:rPr>
          <w:rFonts w:ascii="Tahoma" w:hAnsi="Tahoma" w:cs="Tahoma"/>
          <w:b/>
          <w:bCs/>
          <w:spacing w:val="5"/>
          <w:sz w:val="24"/>
          <w:szCs w:val="24"/>
          <w:lang w:val="es-ES" w:eastAsia="es-ES"/>
        </w:rPr>
        <w:t>V</w:t>
      </w:r>
      <w:r w:rsidR="00F875FB">
        <w:rPr>
          <w:rFonts w:ascii="Tahoma" w:hAnsi="Tahoma" w:cs="Tahoma"/>
          <w:b/>
          <w:bCs/>
          <w:spacing w:val="5"/>
          <w:sz w:val="24"/>
          <w:szCs w:val="24"/>
          <w:lang w:val="es-ES" w:eastAsia="es-ES"/>
        </w:rPr>
        <w:t>.B.</w:t>
      </w:r>
      <w:r>
        <w:rPr>
          <w:rFonts w:ascii="Tahoma" w:hAnsi="Tahoma" w:cs="Tahoma"/>
          <w:b/>
          <w:bCs/>
          <w:spacing w:val="5"/>
          <w:sz w:val="24"/>
          <w:szCs w:val="24"/>
          <w:lang w:val="es-ES" w:eastAsia="es-ES"/>
        </w:rPr>
        <w:t xml:space="preserve">S.A. cédula Jurídica </w:t>
      </w:r>
      <w:r w:rsidR="00F875FB">
        <w:rPr>
          <w:rFonts w:ascii="Tahoma" w:hAnsi="Tahoma" w:cs="Tahoma"/>
          <w:b/>
          <w:bCs/>
          <w:spacing w:val="5"/>
          <w:sz w:val="24"/>
          <w:szCs w:val="24"/>
          <w:lang w:val="es-ES" w:eastAsia="es-ES"/>
        </w:rPr>
        <w:t>…</w:t>
      </w:r>
      <w:r>
        <w:rPr>
          <w:rFonts w:ascii="Tahoma" w:hAnsi="Tahoma" w:cs="Tahoma"/>
          <w:b/>
          <w:bCs/>
          <w:spacing w:val="5"/>
          <w:sz w:val="24"/>
          <w:szCs w:val="24"/>
          <w:lang w:val="es-ES" w:eastAsia="es-ES"/>
        </w:rPr>
        <w:t>, representada por M</w:t>
      </w:r>
      <w:r w:rsidR="00F875FB">
        <w:rPr>
          <w:rFonts w:ascii="Tahoma" w:hAnsi="Tahoma" w:cs="Tahoma"/>
          <w:b/>
          <w:bCs/>
          <w:spacing w:val="5"/>
          <w:sz w:val="24"/>
          <w:szCs w:val="24"/>
          <w:lang w:val="es-ES" w:eastAsia="es-ES"/>
        </w:rPr>
        <w:t>.V.H.A.</w:t>
      </w:r>
      <w:r>
        <w:rPr>
          <w:rFonts w:ascii="Tahoma" w:hAnsi="Tahoma" w:cs="Tahoma"/>
          <w:b/>
          <w:bCs/>
          <w:spacing w:val="5"/>
          <w:sz w:val="24"/>
          <w:szCs w:val="24"/>
          <w:lang w:val="es-ES" w:eastAsia="es-ES"/>
        </w:rPr>
        <w:t xml:space="preserve"> cédula de identidad número </w:t>
      </w:r>
      <w:r w:rsidR="00F875FB">
        <w:rPr>
          <w:rFonts w:ascii="Tahoma" w:hAnsi="Tahoma" w:cs="Tahoma"/>
          <w:b/>
          <w:bCs/>
          <w:spacing w:val="5"/>
          <w:sz w:val="24"/>
          <w:szCs w:val="24"/>
          <w:lang w:val="es-ES" w:eastAsia="es-ES"/>
        </w:rPr>
        <w:t>…</w:t>
      </w:r>
      <w:r>
        <w:rPr>
          <w:rFonts w:ascii="Tahoma" w:hAnsi="Tahoma" w:cs="Tahoma"/>
          <w:b/>
          <w:bCs/>
          <w:spacing w:val="5"/>
          <w:sz w:val="24"/>
          <w:szCs w:val="24"/>
          <w:lang w:val="es-ES" w:eastAsia="es-ES"/>
        </w:rPr>
        <w:t xml:space="preserve">, </w:t>
      </w:r>
      <w:r>
        <w:rPr>
          <w:rFonts w:ascii="Tahoma" w:hAnsi="Tahoma" w:cs="Tahoma"/>
          <w:spacing w:val="5"/>
          <w:sz w:val="24"/>
          <w:szCs w:val="24"/>
          <w:lang w:val="es-ES" w:eastAsia="es-ES"/>
        </w:rPr>
        <w:t xml:space="preserve">en su condición de Apoderado Generalísimo sin límite de suma, </w:t>
      </w:r>
      <w:r>
        <w:rPr>
          <w:rFonts w:ascii="Tahoma" w:hAnsi="Tahoma" w:cs="Tahoma"/>
          <w:b/>
          <w:bCs/>
          <w:spacing w:val="5"/>
          <w:sz w:val="24"/>
          <w:szCs w:val="24"/>
          <w:lang w:val="es-ES" w:eastAsia="es-ES"/>
        </w:rPr>
        <w:t xml:space="preserve">contra el artículo 7.13 de la Sesión Ordinaria 27-2017 de 5 de julio de 2017, </w:t>
      </w:r>
      <w:r>
        <w:rPr>
          <w:rFonts w:ascii="Tahoma" w:hAnsi="Tahoma" w:cs="Tahoma"/>
          <w:spacing w:val="5"/>
          <w:sz w:val="24"/>
          <w:szCs w:val="24"/>
          <w:lang w:val="es-ES" w:eastAsia="es-ES"/>
        </w:rPr>
        <w:t>adoptado por La Junta Directiva del Consejo de Transporte Público.</w:t>
      </w:r>
    </w:p>
    <w:p w:rsidR="00106017" w:rsidRDefault="002258ED" w:rsidP="00F875FB">
      <w:pPr>
        <w:numPr>
          <w:ilvl w:val="0"/>
          <w:numId w:val="6"/>
        </w:numPr>
        <w:kinsoku w:val="0"/>
        <w:overflowPunct w:val="0"/>
        <w:autoSpaceDE/>
        <w:autoSpaceDN/>
        <w:adjustRightInd/>
        <w:spacing w:before="276" w:after="494" w:line="272" w:lineRule="exact"/>
        <w:jc w:val="both"/>
        <w:textAlignment w:val="baseline"/>
        <w:rPr>
          <w:sz w:val="24"/>
          <w:szCs w:val="24"/>
        </w:rPr>
      </w:pPr>
      <w:proofErr w:type="gramStart"/>
      <w:r>
        <w:rPr>
          <w:rFonts w:ascii="Tahoma" w:hAnsi="Tahoma" w:cs="Tahoma"/>
          <w:b/>
          <w:bCs/>
          <w:spacing w:val="8"/>
          <w:sz w:val="24"/>
          <w:szCs w:val="24"/>
          <w:lang w:val="es-ES" w:eastAsia="es-ES"/>
        </w:rPr>
        <w:t>NOTIFIQUESE.</w:t>
      </w:r>
      <w:r>
        <w:rPr>
          <w:rFonts w:ascii="Tahoma" w:hAnsi="Tahoma" w:cs="Tahoma"/>
          <w:b/>
          <w:bCs/>
          <w:spacing w:val="8"/>
          <w:sz w:val="24"/>
          <w:szCs w:val="24"/>
          <w:lang w:val="es-ES" w:eastAsia="es-ES"/>
        </w:rPr>
        <w:noBreakHyphen/>
      </w:r>
      <w:proofErr w:type="gramEnd"/>
      <w:r w:rsidR="00F875FB">
        <w:rPr>
          <w:sz w:val="24"/>
          <w:szCs w:val="24"/>
        </w:rPr>
        <w:t xml:space="preserve"> </w:t>
      </w:r>
    </w:p>
    <w:p w:rsidR="00F875FB" w:rsidRDefault="00F875FB" w:rsidP="00F875FB">
      <w:pPr>
        <w:kinsoku w:val="0"/>
        <w:overflowPunct w:val="0"/>
        <w:autoSpaceDE/>
        <w:autoSpaceDN/>
        <w:adjustRightInd/>
        <w:spacing w:before="276" w:after="494" w:line="272" w:lineRule="exact"/>
        <w:jc w:val="both"/>
        <w:textAlignment w:val="baseline"/>
        <w:rPr>
          <w:sz w:val="24"/>
          <w:szCs w:val="24"/>
        </w:rPr>
      </w:pPr>
    </w:p>
    <w:p w:rsidR="00F875FB" w:rsidRPr="00DE692E" w:rsidRDefault="00F875FB" w:rsidP="00F875FB">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F875FB" w:rsidRPr="00DE692E" w:rsidRDefault="00F875FB" w:rsidP="00F875FB">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F875FB" w:rsidRDefault="00F875FB" w:rsidP="00F875FB">
      <w:pPr>
        <w:kinsoku w:val="0"/>
        <w:overflowPunct w:val="0"/>
        <w:autoSpaceDE/>
        <w:autoSpaceDN/>
        <w:adjustRightInd/>
        <w:spacing w:after="870" w:line="303" w:lineRule="exact"/>
        <w:ind w:right="216"/>
        <w:jc w:val="center"/>
        <w:textAlignment w:val="baseline"/>
        <w:rPr>
          <w:b/>
          <w:bCs/>
          <w:sz w:val="23"/>
          <w:szCs w:val="23"/>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F875FB" w:rsidRDefault="00F875FB" w:rsidP="00F875FB">
      <w:pPr>
        <w:kinsoku w:val="0"/>
        <w:overflowPunct w:val="0"/>
        <w:autoSpaceDE/>
        <w:autoSpaceDN/>
        <w:adjustRightInd/>
        <w:spacing w:before="276" w:after="494" w:line="272" w:lineRule="exact"/>
        <w:jc w:val="both"/>
        <w:textAlignment w:val="baseline"/>
        <w:rPr>
          <w:sz w:val="24"/>
          <w:szCs w:val="24"/>
        </w:rPr>
        <w:sectPr w:rsidR="00F875FB">
          <w:pgSz w:w="12312" w:h="15782"/>
          <w:pgMar w:top="2140" w:right="1872" w:bottom="81" w:left="1800" w:header="720" w:footer="720" w:gutter="0"/>
          <w:cols w:space="720"/>
          <w:noEndnote/>
        </w:sectPr>
      </w:pPr>
    </w:p>
    <w:p w:rsidR="002258ED" w:rsidRDefault="002258ED" w:rsidP="00F875FB">
      <w:pPr>
        <w:tabs>
          <w:tab w:val="right" w:pos="2520"/>
        </w:tabs>
        <w:kinsoku w:val="0"/>
        <w:overflowPunct w:val="0"/>
        <w:autoSpaceDE/>
        <w:autoSpaceDN/>
        <w:adjustRightInd/>
        <w:spacing w:before="4" w:line="221" w:lineRule="exact"/>
        <w:textAlignment w:val="baseline"/>
        <w:rPr>
          <w:lang w:val="es-ES" w:eastAsia="es-ES"/>
        </w:rPr>
      </w:pPr>
    </w:p>
    <w:sectPr w:rsidR="002258ED">
      <w:type w:val="continuous"/>
      <w:pgSz w:w="12312" w:h="15782"/>
      <w:pgMar w:top="2140" w:right="1877" w:bottom="81" w:left="78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7E9C"/>
    <w:multiLevelType w:val="singleLevel"/>
    <w:tmpl w:val="00F107BE"/>
    <w:lvl w:ilvl="0">
      <w:start w:val="1"/>
      <w:numFmt w:val="decimal"/>
      <w:lvlText w:val="%1."/>
      <w:lvlJc w:val="left"/>
      <w:pPr>
        <w:tabs>
          <w:tab w:val="num" w:pos="1080"/>
        </w:tabs>
        <w:ind w:left="792"/>
      </w:pPr>
      <w:rPr>
        <w:rFonts w:ascii="Verdana" w:hAnsi="Verdana" w:cs="Verdana"/>
        <w:i/>
        <w:iCs/>
        <w:snapToGrid/>
        <w:sz w:val="16"/>
        <w:szCs w:val="16"/>
      </w:rPr>
    </w:lvl>
  </w:abstractNum>
  <w:abstractNum w:abstractNumId="1" w15:restartNumberingAfterBreak="0">
    <w:nsid w:val="05EA0B01"/>
    <w:multiLevelType w:val="singleLevel"/>
    <w:tmpl w:val="19464619"/>
    <w:lvl w:ilvl="0">
      <w:start w:val="1"/>
      <w:numFmt w:val="decimal"/>
      <w:lvlText w:val="%1."/>
      <w:lvlJc w:val="left"/>
      <w:pPr>
        <w:tabs>
          <w:tab w:val="num" w:pos="648"/>
        </w:tabs>
        <w:ind w:left="144"/>
      </w:pPr>
      <w:rPr>
        <w:rFonts w:ascii="Verdana" w:hAnsi="Verdana" w:cs="Verdana"/>
        <w:snapToGrid/>
        <w:sz w:val="24"/>
        <w:szCs w:val="24"/>
      </w:rPr>
    </w:lvl>
  </w:abstractNum>
  <w:abstractNum w:abstractNumId="2" w15:restartNumberingAfterBreak="0">
    <w:nsid w:val="07CDE11C"/>
    <w:multiLevelType w:val="singleLevel"/>
    <w:tmpl w:val="28CED83C"/>
    <w:lvl w:ilvl="0">
      <w:start w:val="1"/>
      <w:numFmt w:val="upperRoman"/>
      <w:lvlText w:val="%1.-"/>
      <w:lvlJc w:val="left"/>
      <w:pPr>
        <w:tabs>
          <w:tab w:val="num" w:pos="576"/>
        </w:tabs>
      </w:pPr>
      <w:rPr>
        <w:rFonts w:ascii="Tahoma" w:hAnsi="Tahoma" w:cs="Tahoma"/>
        <w:b/>
        <w:snapToGrid/>
        <w:spacing w:val="5"/>
        <w:sz w:val="24"/>
        <w:szCs w:val="24"/>
      </w:rPr>
    </w:lvl>
  </w:abstractNum>
  <w:num w:numId="1">
    <w:abstractNumId w:val="0"/>
  </w:num>
  <w:num w:numId="2">
    <w:abstractNumId w:val="0"/>
    <w:lvlOverride w:ilvl="0">
      <w:lvl w:ilvl="0">
        <w:numFmt w:val="decimal"/>
        <w:lvlText w:val="%1."/>
        <w:lvlJc w:val="left"/>
        <w:pPr>
          <w:tabs>
            <w:tab w:val="num" w:pos="936"/>
          </w:tabs>
          <w:ind w:left="792"/>
        </w:pPr>
        <w:rPr>
          <w:rFonts w:ascii="Verdana" w:hAnsi="Verdana" w:cs="Verdana"/>
          <w:i/>
          <w:iCs/>
          <w:snapToGrid/>
          <w:sz w:val="16"/>
          <w:szCs w:val="16"/>
        </w:rPr>
      </w:lvl>
    </w:lvlOverride>
  </w:num>
  <w:num w:numId="3">
    <w:abstractNumId w:val="1"/>
  </w:num>
  <w:num w:numId="4">
    <w:abstractNumId w:val="1"/>
    <w:lvlOverride w:ilvl="0">
      <w:lvl w:ilvl="0">
        <w:numFmt w:val="decimal"/>
        <w:lvlText w:val="%1."/>
        <w:lvlJc w:val="left"/>
        <w:pPr>
          <w:tabs>
            <w:tab w:val="num" w:pos="432"/>
          </w:tabs>
          <w:ind w:left="144"/>
        </w:pPr>
        <w:rPr>
          <w:rFonts w:ascii="Verdana" w:hAnsi="Verdana" w:cs="Verdana"/>
          <w:snapToGrid/>
          <w:spacing w:val="4"/>
          <w:sz w:val="24"/>
          <w:szCs w:val="24"/>
        </w:rPr>
      </w:lvl>
    </w:lvlOverride>
  </w:num>
  <w:num w:numId="5">
    <w:abstractNumId w:val="2"/>
  </w:num>
  <w:num w:numId="6">
    <w:abstractNumId w:val="2"/>
    <w:lvlOverride w:ilvl="0">
      <w:lvl w:ilvl="0">
        <w:numFmt w:val="upperRoman"/>
        <w:lvlText w:val="%1.-"/>
        <w:lvlJc w:val="left"/>
        <w:pPr>
          <w:tabs>
            <w:tab w:val="num" w:pos="576"/>
          </w:tabs>
        </w:pPr>
        <w:rPr>
          <w:rFonts w:ascii="Tahoma" w:hAnsi="Tahoma" w:cs="Tahoma"/>
          <w:b/>
          <w:bCs/>
          <w:snapToGrid/>
          <w:spacing w:val="8"/>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B"/>
    <w:rsid w:val="00106017"/>
    <w:rsid w:val="002258ED"/>
    <w:rsid w:val="00C42019"/>
    <w:rsid w:val="00F875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10752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2019-04-25T16:51:00Z</dcterms:created>
  <dcterms:modified xsi:type="dcterms:W3CDTF">2019-04-25T16:51:00Z</dcterms:modified>
</cp:coreProperties>
</file>